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2：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“明德为公”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杯新疆大学生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公共管理案例大赛评分细则</w:t>
      </w:r>
    </w:p>
    <w:bookmarkEnd w:id="0"/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296"/>
        <w:gridCol w:w="717"/>
        <w:gridCol w:w="3025"/>
        <w:gridCol w:w="3025"/>
        <w:gridCol w:w="2877"/>
        <w:gridCol w:w="2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00" w:type="pct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第一部分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案例正文（满分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1" w:type="pct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指标序号</w:t>
            </w: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评分等级</w:t>
            </w:r>
          </w:p>
        </w:tc>
        <w:tc>
          <w:tcPr>
            <w:tcW w:w="25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权重</w:t>
            </w:r>
          </w:p>
        </w:tc>
        <w:tc>
          <w:tcPr>
            <w:tcW w:w="106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优秀</w:t>
            </w:r>
          </w:p>
        </w:tc>
        <w:tc>
          <w:tcPr>
            <w:tcW w:w="106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良好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合格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1" w:type="pct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评价内容</w:t>
            </w:r>
          </w:p>
        </w:tc>
        <w:tc>
          <w:tcPr>
            <w:tcW w:w="25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106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 w:cs="瀹嬩綋"/>
                <w:color w:val="000000"/>
                <w:sz w:val="22"/>
                <w:szCs w:val="24"/>
              </w:rPr>
              <w:t>（</w:t>
            </w:r>
            <w:r>
              <w:rPr>
                <w:rFonts w:ascii="仿宋" w:hAnsi="仿宋" w:eastAsia="仿宋" w:cs="Calibri"/>
                <w:color w:val="000000"/>
                <w:sz w:val="22"/>
                <w:szCs w:val="24"/>
              </w:rPr>
              <w:t>90</w:t>
            </w:r>
            <w:r>
              <w:rPr>
                <w:rFonts w:ascii="仿宋" w:hAnsi="仿宋" w:eastAsia="仿宋" w:cs="Times New Roman"/>
                <w:color w:val="000000"/>
                <w:sz w:val="22"/>
                <w:szCs w:val="24"/>
              </w:rPr>
              <w:t>≤</w:t>
            </w:r>
            <w:r>
              <w:rPr>
                <w:rFonts w:ascii="仿宋" w:hAnsi="仿宋" w:eastAsia="仿宋" w:cs="Calibri"/>
                <w:color w:val="000000"/>
                <w:sz w:val="22"/>
                <w:szCs w:val="24"/>
              </w:rPr>
              <w:t>X</w:t>
            </w:r>
            <w:r>
              <w:rPr>
                <w:rFonts w:ascii="仿宋" w:hAnsi="仿宋" w:eastAsia="仿宋" w:cs="Times New Roman"/>
                <w:color w:val="000000"/>
                <w:sz w:val="22"/>
                <w:szCs w:val="24"/>
              </w:rPr>
              <w:t>≤</w:t>
            </w:r>
            <w:r>
              <w:rPr>
                <w:rFonts w:ascii="仿宋" w:hAnsi="仿宋" w:eastAsia="仿宋" w:cs="Calibri"/>
                <w:color w:val="000000"/>
                <w:sz w:val="22"/>
                <w:szCs w:val="24"/>
              </w:rPr>
              <w:t>100</w:t>
            </w:r>
            <w:r>
              <w:rPr>
                <w:rFonts w:ascii="仿宋" w:hAnsi="仿宋" w:eastAsia="仿宋" w:cs="瀹嬩綋"/>
                <w:color w:val="000000"/>
                <w:spacing w:val="-3"/>
                <w:sz w:val="22"/>
                <w:szCs w:val="24"/>
              </w:rPr>
              <w:t>）</w:t>
            </w:r>
          </w:p>
        </w:tc>
        <w:tc>
          <w:tcPr>
            <w:tcW w:w="106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 w:cs="瀹嬩綋"/>
                <w:color w:val="000000"/>
                <w:sz w:val="22"/>
                <w:szCs w:val="24"/>
              </w:rPr>
              <w:t>（</w:t>
            </w:r>
            <w:r>
              <w:rPr>
                <w:rFonts w:ascii="仿宋" w:hAnsi="仿宋" w:eastAsia="仿宋" w:cs="Calibri"/>
                <w:color w:val="000000"/>
                <w:sz w:val="22"/>
                <w:szCs w:val="24"/>
              </w:rPr>
              <w:t>70</w:t>
            </w:r>
            <w:r>
              <w:rPr>
                <w:rFonts w:ascii="仿宋" w:hAnsi="仿宋" w:eastAsia="仿宋" w:cs="Times New Roman"/>
                <w:color w:val="000000"/>
                <w:sz w:val="22"/>
                <w:szCs w:val="24"/>
              </w:rPr>
              <w:t>≤</w:t>
            </w:r>
            <w:r>
              <w:rPr>
                <w:rFonts w:ascii="仿宋" w:hAnsi="仿宋" w:eastAsia="仿宋" w:cs="Calibri"/>
                <w:color w:val="000000"/>
                <w:sz w:val="22"/>
                <w:szCs w:val="24"/>
              </w:rPr>
              <w:t>X</w:t>
            </w:r>
            <w:r>
              <w:rPr>
                <w:rFonts w:ascii="仿宋" w:hAnsi="仿宋" w:eastAsia="仿宋" w:cs="Times New Roman"/>
                <w:color w:val="000000"/>
                <w:sz w:val="22"/>
                <w:szCs w:val="24"/>
              </w:rPr>
              <w:t>&lt;</w:t>
            </w:r>
            <w:r>
              <w:rPr>
                <w:rFonts w:ascii="仿宋" w:hAnsi="仿宋" w:eastAsia="仿宋" w:cs="Calibri"/>
                <w:color w:val="000000"/>
                <w:sz w:val="22"/>
                <w:szCs w:val="24"/>
              </w:rPr>
              <w:t>90</w:t>
            </w:r>
            <w:r>
              <w:rPr>
                <w:rFonts w:ascii="仿宋" w:hAnsi="仿宋" w:eastAsia="仿宋" w:cs="瀹嬩綋"/>
                <w:color w:val="000000"/>
                <w:sz w:val="22"/>
                <w:szCs w:val="24"/>
              </w:rPr>
              <w:t>）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 w:cs="瀹嬩綋"/>
                <w:color w:val="000000"/>
                <w:sz w:val="22"/>
                <w:szCs w:val="24"/>
              </w:rPr>
              <w:t>（</w:t>
            </w:r>
            <w:r>
              <w:rPr>
                <w:rFonts w:ascii="仿宋" w:hAnsi="仿宋" w:eastAsia="仿宋" w:cs="Calibri"/>
                <w:color w:val="000000"/>
                <w:sz w:val="22"/>
                <w:szCs w:val="24"/>
              </w:rPr>
              <w:t>60</w:t>
            </w:r>
            <w:r>
              <w:rPr>
                <w:rFonts w:ascii="仿宋" w:hAnsi="仿宋" w:eastAsia="仿宋" w:cs="Times New Roman"/>
                <w:color w:val="000000"/>
                <w:sz w:val="22"/>
                <w:szCs w:val="24"/>
              </w:rPr>
              <w:t>≤</w:t>
            </w:r>
            <w:r>
              <w:rPr>
                <w:rFonts w:ascii="仿宋" w:hAnsi="仿宋" w:eastAsia="仿宋" w:cs="Calibri"/>
                <w:color w:val="000000"/>
                <w:sz w:val="22"/>
                <w:szCs w:val="24"/>
              </w:rPr>
              <w:t>X</w:t>
            </w:r>
            <w:r>
              <w:rPr>
                <w:rFonts w:ascii="仿宋" w:hAnsi="仿宋" w:eastAsia="仿宋" w:cs="Times New Roman"/>
                <w:color w:val="000000"/>
                <w:sz w:val="22"/>
                <w:szCs w:val="24"/>
              </w:rPr>
              <w:t>&lt;</w:t>
            </w:r>
            <w:r>
              <w:rPr>
                <w:rFonts w:ascii="仿宋" w:hAnsi="仿宋" w:eastAsia="仿宋" w:cs="Calibri"/>
                <w:color w:val="000000"/>
                <w:sz w:val="22"/>
                <w:szCs w:val="24"/>
              </w:rPr>
              <w:t>70</w:t>
            </w:r>
            <w:r>
              <w:rPr>
                <w:rFonts w:ascii="仿宋" w:hAnsi="仿宋" w:eastAsia="仿宋" w:cs="瀹嬩綋"/>
                <w:color w:val="000000"/>
                <w:spacing w:val="-3"/>
                <w:sz w:val="22"/>
                <w:szCs w:val="24"/>
              </w:rPr>
              <w:t>）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 w:cs="瀹嬩綋"/>
                <w:color w:val="000000"/>
                <w:sz w:val="22"/>
                <w:szCs w:val="24"/>
              </w:rPr>
              <w:t>（</w:t>
            </w:r>
            <w:r>
              <w:rPr>
                <w:rFonts w:ascii="仿宋" w:hAnsi="仿宋" w:eastAsia="仿宋" w:cs="Calibri"/>
                <w:color w:val="000000"/>
                <w:sz w:val="22"/>
                <w:szCs w:val="24"/>
              </w:rPr>
              <w:t>0</w:t>
            </w:r>
            <w:r>
              <w:rPr>
                <w:rFonts w:ascii="仿宋" w:hAnsi="仿宋" w:eastAsia="仿宋" w:cs="Times New Roman"/>
                <w:color w:val="000000"/>
                <w:sz w:val="22"/>
                <w:szCs w:val="24"/>
              </w:rPr>
              <w:t>≤</w:t>
            </w:r>
            <w:r>
              <w:rPr>
                <w:rFonts w:ascii="仿宋" w:hAnsi="仿宋" w:eastAsia="仿宋" w:cs="Calibri"/>
                <w:color w:val="000000"/>
                <w:sz w:val="22"/>
                <w:szCs w:val="24"/>
              </w:rPr>
              <w:t>X</w:t>
            </w:r>
            <w:r>
              <w:rPr>
                <w:rFonts w:ascii="仿宋" w:hAnsi="仿宋" w:eastAsia="仿宋" w:cs="Times New Roman"/>
                <w:color w:val="000000"/>
                <w:spacing w:val="-3"/>
                <w:sz w:val="22"/>
                <w:szCs w:val="24"/>
              </w:rPr>
              <w:t>&lt;</w:t>
            </w:r>
            <w:r>
              <w:rPr>
                <w:rFonts w:ascii="仿宋" w:hAnsi="仿宋" w:eastAsia="仿宋" w:cs="Calibri"/>
                <w:color w:val="000000"/>
                <w:sz w:val="22"/>
                <w:szCs w:val="24"/>
              </w:rPr>
              <w:t>60</w:t>
            </w:r>
            <w:r>
              <w:rPr>
                <w:rFonts w:ascii="仿宋" w:hAnsi="仿宋" w:eastAsia="仿宋" w:cs="瀹嬩綋"/>
                <w:color w:val="000000"/>
                <w:spacing w:val="-3"/>
                <w:sz w:val="22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25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1</w:t>
            </w: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案例选题</w:t>
            </w:r>
          </w:p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和来源</w:t>
            </w:r>
          </w:p>
        </w:tc>
        <w:tc>
          <w:tcPr>
            <w:tcW w:w="25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2</w:t>
            </w:r>
            <w:r>
              <w:rPr>
                <w:rFonts w:ascii="仿宋" w:hAnsi="仿宋" w:eastAsia="仿宋"/>
                <w:sz w:val="22"/>
                <w:szCs w:val="24"/>
              </w:rPr>
              <w:t>0</w:t>
            </w:r>
          </w:p>
        </w:tc>
        <w:tc>
          <w:tcPr>
            <w:tcW w:w="1067" w:type="pct"/>
            <w:vAlign w:val="center"/>
          </w:tcPr>
          <w:p>
            <w:pPr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 w:cs="瀹嬩綋"/>
                <w:color w:val="000000"/>
                <w:sz w:val="22"/>
                <w:szCs w:val="24"/>
              </w:rPr>
              <w:t>选题紧密联系我国</w:t>
            </w:r>
            <w:r>
              <w:rPr>
                <w:rFonts w:ascii="仿宋" w:hAnsi="仿宋" w:eastAsia="仿宋" w:cs="瀹嬩綋"/>
                <w:color w:val="000000"/>
                <w:spacing w:val="-3"/>
                <w:sz w:val="22"/>
                <w:szCs w:val="24"/>
              </w:rPr>
              <w:t>公</w:t>
            </w:r>
            <w:r>
              <w:rPr>
                <w:rFonts w:ascii="仿宋" w:hAnsi="仿宋" w:eastAsia="仿宋" w:cs="瀹嬩綋"/>
                <w:color w:val="000000"/>
                <w:spacing w:val="-19"/>
                <w:sz w:val="22"/>
                <w:szCs w:val="24"/>
              </w:rPr>
              <w:t>共</w:t>
            </w:r>
            <w:r>
              <w:rPr>
                <w:rFonts w:ascii="仿宋" w:hAnsi="仿宋" w:eastAsia="仿宋" w:cs="瀹嬩綋"/>
                <w:color w:val="000000"/>
                <w:sz w:val="22"/>
                <w:szCs w:val="24"/>
              </w:rPr>
              <w:t>管理实践中的重大</w:t>
            </w:r>
            <w:r>
              <w:rPr>
                <w:rFonts w:ascii="仿宋" w:hAnsi="仿宋" w:eastAsia="仿宋" w:cs="瀹嬩綋"/>
                <w:color w:val="000000"/>
                <w:spacing w:val="-3"/>
                <w:sz w:val="22"/>
                <w:szCs w:val="24"/>
              </w:rPr>
              <w:t>问题</w:t>
            </w:r>
            <w:r>
              <w:rPr>
                <w:rFonts w:ascii="仿宋" w:hAnsi="仿宋" w:eastAsia="仿宋" w:cs="瀹嬩綋"/>
                <w:color w:val="000000"/>
                <w:spacing w:val="-9"/>
                <w:sz w:val="22"/>
                <w:szCs w:val="24"/>
              </w:rPr>
              <w:t>，具</w:t>
            </w:r>
            <w:r>
              <w:rPr>
                <w:rFonts w:ascii="仿宋" w:hAnsi="仿宋" w:eastAsia="仿宋" w:cs="瀹嬩綋"/>
                <w:color w:val="000000"/>
                <w:sz w:val="22"/>
                <w:szCs w:val="24"/>
              </w:rPr>
              <w:t>有典型性，意义重</w:t>
            </w:r>
            <w:r>
              <w:rPr>
                <w:rFonts w:ascii="仿宋" w:hAnsi="仿宋" w:eastAsia="仿宋" w:cs="瀹嬩綋"/>
                <w:color w:val="000000"/>
                <w:spacing w:val="-3"/>
                <w:sz w:val="22"/>
                <w:szCs w:val="24"/>
              </w:rPr>
              <w:t>大</w:t>
            </w:r>
            <w:r>
              <w:rPr>
                <w:rFonts w:ascii="仿宋" w:hAnsi="仿宋" w:eastAsia="仿宋" w:cs="瀹嬩綋"/>
                <w:color w:val="000000"/>
                <w:spacing w:val="-7"/>
                <w:sz w:val="22"/>
                <w:szCs w:val="24"/>
              </w:rPr>
              <w:t>，材料</w:t>
            </w:r>
            <w:r>
              <w:rPr>
                <w:rFonts w:ascii="仿宋" w:hAnsi="仿宋" w:eastAsia="仿宋" w:cs="瀹嬩綋"/>
                <w:color w:val="000000"/>
                <w:sz w:val="22"/>
                <w:szCs w:val="24"/>
              </w:rPr>
              <w:t>以作者实地调研获</w:t>
            </w:r>
            <w:r>
              <w:rPr>
                <w:rFonts w:ascii="仿宋" w:hAnsi="仿宋" w:eastAsia="仿宋" w:cs="瀹嬩綋"/>
                <w:color w:val="000000"/>
                <w:spacing w:val="-3"/>
                <w:sz w:val="22"/>
                <w:szCs w:val="24"/>
              </w:rPr>
              <w:t>得的</w:t>
            </w:r>
            <w:r>
              <w:rPr>
                <w:rFonts w:ascii="仿宋" w:hAnsi="仿宋" w:eastAsia="仿宋" w:cs="瀹嬩綋"/>
                <w:color w:val="000000"/>
                <w:spacing w:val="-9"/>
                <w:sz w:val="22"/>
                <w:szCs w:val="24"/>
              </w:rPr>
              <w:t>一手</w:t>
            </w:r>
            <w:r>
              <w:rPr>
                <w:rFonts w:ascii="仿宋" w:hAnsi="仿宋" w:eastAsia="仿宋" w:cs="瀹嬩綋"/>
                <w:color w:val="000000"/>
                <w:sz w:val="22"/>
                <w:szCs w:val="24"/>
              </w:rPr>
              <w:t>资料为主；内容充实</w:t>
            </w:r>
            <w:r>
              <w:rPr>
                <w:rFonts w:ascii="仿宋" w:hAnsi="仿宋" w:eastAsia="仿宋" w:cs="瀹嬩綋"/>
                <w:color w:val="000000"/>
                <w:spacing w:val="-3"/>
                <w:sz w:val="22"/>
                <w:szCs w:val="24"/>
              </w:rPr>
              <w:t>。</w:t>
            </w:r>
          </w:p>
        </w:tc>
        <w:tc>
          <w:tcPr>
            <w:tcW w:w="1067" w:type="pct"/>
            <w:vAlign w:val="center"/>
          </w:tcPr>
          <w:p>
            <w:pPr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选题紧密联系我国公共管理实践，具有代表性，具有使用价值，案例材料以媒体报道等二手材料为主；来源广泛，内容充实。</w:t>
            </w:r>
          </w:p>
        </w:tc>
        <w:tc>
          <w:tcPr>
            <w:tcW w:w="1015" w:type="pct"/>
            <w:vAlign w:val="center"/>
          </w:tcPr>
          <w:p>
            <w:pPr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选题联系国内外公共管理实践，具有代表性，案例材料以媒体报道等二手材料为主；来源不够广泛，内容不够充实。</w:t>
            </w:r>
          </w:p>
        </w:tc>
        <w:tc>
          <w:tcPr>
            <w:tcW w:w="886" w:type="pct"/>
            <w:vAlign w:val="center"/>
          </w:tcPr>
          <w:p>
            <w:pPr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选题不具有典型性</w:t>
            </w:r>
            <w:r>
              <w:rPr>
                <w:rFonts w:ascii="仿宋" w:hAnsi="仿宋" w:eastAsia="仿宋"/>
                <w:sz w:val="22"/>
                <w:szCs w:val="24"/>
              </w:rPr>
              <w:t>和代表性，案例材料为媒体报道等二手材料；来源单一，内容单薄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.</w:t>
            </w:r>
            <w:r>
              <w:rPr>
                <w:rFonts w:ascii="仿宋" w:hAnsi="仿宋" w:eastAsia="仿宋"/>
                <w:sz w:val="22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5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2</w:t>
            </w: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案例主体</w:t>
            </w:r>
          </w:p>
        </w:tc>
        <w:tc>
          <w:tcPr>
            <w:tcW w:w="25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3</w:t>
            </w:r>
            <w:r>
              <w:rPr>
                <w:rFonts w:ascii="仿宋" w:hAnsi="仿宋" w:eastAsia="仿宋"/>
                <w:sz w:val="22"/>
                <w:szCs w:val="24"/>
              </w:rPr>
              <w:t>0</w:t>
            </w:r>
          </w:p>
        </w:tc>
        <w:tc>
          <w:tcPr>
            <w:tcW w:w="1067" w:type="pct"/>
            <w:vAlign w:val="center"/>
          </w:tcPr>
          <w:p>
            <w:pPr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谋篇布局合理；起承转</w:t>
            </w:r>
            <w:r>
              <w:rPr>
                <w:rFonts w:ascii="仿宋" w:hAnsi="仿宋" w:eastAsia="仿宋"/>
                <w:sz w:val="22"/>
                <w:szCs w:val="24"/>
              </w:rPr>
              <w:t>合分明；内容丰富，事件发展和冲突描述清晰。</w:t>
            </w:r>
          </w:p>
        </w:tc>
        <w:tc>
          <w:tcPr>
            <w:tcW w:w="1067" w:type="pct"/>
            <w:vAlign w:val="center"/>
          </w:tcPr>
          <w:p>
            <w:pPr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谋篇布局合理；起承转合</w:t>
            </w:r>
            <w:r>
              <w:rPr>
                <w:rFonts w:ascii="仿宋" w:hAnsi="仿宋" w:eastAsia="仿宋"/>
                <w:sz w:val="22"/>
                <w:szCs w:val="24"/>
              </w:rPr>
              <w:t xml:space="preserve"> 比较分明；内容比较丰富，事件发展和冲突描述比较清晰。</w:t>
            </w:r>
          </w:p>
        </w:tc>
        <w:tc>
          <w:tcPr>
            <w:tcW w:w="1015" w:type="pct"/>
            <w:vAlign w:val="center"/>
          </w:tcPr>
          <w:p>
            <w:pPr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谋篇布局不够合理；</w:t>
            </w:r>
            <w:r>
              <w:rPr>
                <w:rFonts w:ascii="仿宋" w:hAnsi="仿宋" w:eastAsia="仿宋"/>
                <w:sz w:val="22"/>
                <w:szCs w:val="24"/>
              </w:rPr>
              <w:t>起承转合不够分明；内容比较单薄，基本能还原主 要情节。</w:t>
            </w:r>
          </w:p>
        </w:tc>
        <w:tc>
          <w:tcPr>
            <w:tcW w:w="886" w:type="pct"/>
            <w:vAlign w:val="center"/>
          </w:tcPr>
          <w:p>
            <w:pPr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谋篇布局不合理；</w:t>
            </w:r>
            <w:r>
              <w:rPr>
                <w:rFonts w:ascii="仿宋" w:hAnsi="仿宋" w:eastAsia="仿宋"/>
                <w:sz w:val="22"/>
                <w:szCs w:val="24"/>
              </w:rPr>
              <w:t>起承转合不分明；内容单薄，不能还原主要情节。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5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3</w:t>
            </w: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文本质量</w:t>
            </w:r>
          </w:p>
        </w:tc>
        <w:tc>
          <w:tcPr>
            <w:tcW w:w="25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1</w:t>
            </w:r>
            <w:r>
              <w:rPr>
                <w:rFonts w:ascii="仿宋" w:hAnsi="仿宋" w:eastAsia="仿宋"/>
                <w:sz w:val="22"/>
                <w:szCs w:val="24"/>
              </w:rPr>
              <w:t>0</w:t>
            </w:r>
          </w:p>
        </w:tc>
        <w:tc>
          <w:tcPr>
            <w:tcW w:w="1067" w:type="pct"/>
            <w:vAlign w:val="center"/>
          </w:tcPr>
          <w:p>
            <w:pPr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文本规范，语言生动，</w:t>
            </w:r>
            <w:r>
              <w:rPr>
                <w:rFonts w:ascii="仿宋" w:hAnsi="仿宋" w:eastAsia="仿宋"/>
                <w:sz w:val="22"/>
                <w:szCs w:val="24"/>
              </w:rPr>
              <w:t>条理清晰，可读性强，摘要精炼，结语富有启发性，能引发深刻思考。</w:t>
            </w:r>
          </w:p>
        </w:tc>
        <w:tc>
          <w:tcPr>
            <w:tcW w:w="1067" w:type="pct"/>
            <w:vAlign w:val="center"/>
          </w:tcPr>
          <w:p>
            <w:pPr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文本较为规范，条理较好，行文通顺，摘要精炼，结语具有较强启发性。</w:t>
            </w:r>
          </w:p>
        </w:tc>
        <w:tc>
          <w:tcPr>
            <w:tcW w:w="1015" w:type="pct"/>
            <w:vAlign w:val="center"/>
          </w:tcPr>
          <w:p>
            <w:pPr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文本不够规范，条理</w:t>
            </w:r>
            <w:r>
              <w:rPr>
                <w:rFonts w:ascii="仿宋" w:hAnsi="仿宋" w:eastAsia="仿宋"/>
                <w:sz w:val="22"/>
                <w:szCs w:val="24"/>
              </w:rPr>
              <w:t>不清，行文基本通顺，摘要大致准确，结语能引发一定思考。</w:t>
            </w:r>
          </w:p>
        </w:tc>
        <w:tc>
          <w:tcPr>
            <w:tcW w:w="886" w:type="pct"/>
            <w:vAlign w:val="center"/>
          </w:tcPr>
          <w:p>
            <w:pPr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文本很不规范，条</w:t>
            </w:r>
            <w:r>
              <w:rPr>
                <w:rFonts w:ascii="仿宋" w:hAnsi="仿宋" w:eastAsia="仿宋"/>
                <w:sz w:val="22"/>
                <w:szCs w:val="24"/>
              </w:rPr>
              <w:t>理不清，主次不明，摘要概括性差，结语缺少引导性。</w:t>
            </w:r>
          </w:p>
        </w:tc>
      </w:tr>
    </w:tbl>
    <w:tbl>
      <w:tblPr>
        <w:tblStyle w:val="5"/>
        <w:tblpPr w:leftFromText="180" w:rightFromText="180" w:vertAnchor="page" w:horzAnchor="margin" w:tblpY="2077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709"/>
        <w:gridCol w:w="2976"/>
        <w:gridCol w:w="2977"/>
        <w:gridCol w:w="2835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3948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第二部分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案例分析报告（满分40分）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4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瀹嬩綋"/>
                <w:color w:val="000000"/>
                <w:sz w:val="22"/>
                <w:szCs w:val="24"/>
              </w:rPr>
            </w:pPr>
            <w:r>
              <w:rPr>
                <w:rFonts w:ascii="仿宋" w:hAnsi="仿宋" w:eastAsia="仿宋" w:cs="瀹嬩綋"/>
                <w:color w:val="000000"/>
                <w:sz w:val="22"/>
                <w:szCs w:val="24"/>
              </w:rPr>
              <w:t>指标序号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瀹嬩綋"/>
                <w:color w:val="000000"/>
                <w:sz w:val="22"/>
                <w:szCs w:val="24"/>
              </w:rPr>
            </w:pPr>
            <w:r>
              <w:rPr>
                <w:rFonts w:ascii="仿宋" w:hAnsi="仿宋" w:eastAsia="仿宋" w:cs="瀹嬩綋"/>
                <w:color w:val="000000"/>
                <w:sz w:val="22"/>
                <w:szCs w:val="24"/>
              </w:rPr>
              <w:t>评分等级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瀹嬩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瀹嬩綋"/>
                <w:color w:val="000000"/>
                <w:sz w:val="22"/>
                <w:szCs w:val="24"/>
              </w:rPr>
              <w:t>权重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 w:cs="瀹嬩綋"/>
                <w:color w:val="000000"/>
                <w:sz w:val="22"/>
                <w:szCs w:val="24"/>
              </w:rPr>
            </w:pPr>
            <w:r>
              <w:rPr>
                <w:rFonts w:ascii="仿宋" w:hAnsi="仿宋" w:eastAsia="仿宋" w:cs="瀹嬩綋"/>
                <w:color w:val="000000"/>
                <w:sz w:val="22"/>
                <w:szCs w:val="24"/>
              </w:rPr>
              <w:t>优秀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 w:cs="瀹嬩綋"/>
                <w:color w:val="000000"/>
                <w:sz w:val="22"/>
                <w:szCs w:val="24"/>
              </w:rPr>
            </w:pPr>
            <w:r>
              <w:rPr>
                <w:rFonts w:ascii="仿宋" w:hAnsi="仿宋" w:eastAsia="仿宋" w:cs="瀹嬩綋"/>
                <w:color w:val="000000"/>
                <w:sz w:val="22"/>
                <w:szCs w:val="24"/>
              </w:rPr>
              <w:t>良好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瀹嬩綋"/>
                <w:color w:val="000000"/>
                <w:sz w:val="22"/>
                <w:szCs w:val="24"/>
              </w:rPr>
            </w:pPr>
            <w:r>
              <w:rPr>
                <w:rFonts w:ascii="仿宋" w:hAnsi="仿宋" w:eastAsia="仿宋" w:cs="瀹嬩綋"/>
                <w:color w:val="000000"/>
                <w:sz w:val="22"/>
                <w:szCs w:val="24"/>
              </w:rPr>
              <w:t>合格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ascii="仿宋" w:hAnsi="仿宋" w:eastAsia="仿宋" w:cs="瀹嬩綋"/>
                <w:color w:val="000000"/>
                <w:sz w:val="22"/>
                <w:szCs w:val="24"/>
              </w:rPr>
            </w:pPr>
            <w:r>
              <w:rPr>
                <w:rFonts w:ascii="仿宋" w:hAnsi="仿宋" w:eastAsia="仿宋" w:cs="瀹嬩綋"/>
                <w:color w:val="000000"/>
                <w:sz w:val="22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瀹嬩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瀹嬩綋"/>
                <w:color w:val="000000"/>
                <w:sz w:val="22"/>
                <w:szCs w:val="24"/>
              </w:rPr>
            </w:pPr>
            <w:r>
              <w:rPr>
                <w:rFonts w:ascii="仿宋" w:hAnsi="仿宋" w:eastAsia="仿宋" w:cs="瀹嬩綋"/>
                <w:color w:val="000000"/>
                <w:sz w:val="22"/>
                <w:szCs w:val="24"/>
              </w:rPr>
              <w:t>评价内容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瀹嬩綋"/>
                <w:color w:val="000000"/>
                <w:sz w:val="22"/>
                <w:szCs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 w:cs="瀹嬩綋"/>
                <w:color w:val="000000"/>
                <w:sz w:val="22"/>
                <w:szCs w:val="24"/>
              </w:rPr>
            </w:pPr>
            <w:r>
              <w:rPr>
                <w:rFonts w:ascii="仿宋" w:hAnsi="仿宋" w:eastAsia="仿宋" w:cs="瀹嬩綋"/>
                <w:color w:val="000000"/>
                <w:sz w:val="22"/>
                <w:szCs w:val="24"/>
              </w:rPr>
              <w:t>（90≤X≤100）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 w:cs="瀹嬩綋"/>
                <w:color w:val="000000"/>
                <w:sz w:val="22"/>
                <w:szCs w:val="24"/>
              </w:rPr>
            </w:pPr>
            <w:r>
              <w:rPr>
                <w:rFonts w:ascii="仿宋" w:hAnsi="仿宋" w:eastAsia="仿宋" w:cs="瀹嬩綋"/>
                <w:color w:val="000000"/>
                <w:sz w:val="22"/>
                <w:szCs w:val="24"/>
              </w:rPr>
              <w:t>（70≤X&lt;90）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瀹嬩綋"/>
                <w:color w:val="000000"/>
                <w:sz w:val="22"/>
                <w:szCs w:val="24"/>
              </w:rPr>
            </w:pPr>
            <w:r>
              <w:rPr>
                <w:rFonts w:ascii="仿宋" w:hAnsi="仿宋" w:eastAsia="仿宋" w:cs="瀹嬩綋"/>
                <w:color w:val="000000"/>
                <w:sz w:val="22"/>
                <w:szCs w:val="24"/>
              </w:rPr>
              <w:t>（60≤X&lt;70）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ascii="仿宋" w:hAnsi="仿宋" w:eastAsia="仿宋" w:cs="瀹嬩綋"/>
                <w:color w:val="000000"/>
                <w:sz w:val="22"/>
                <w:szCs w:val="24"/>
              </w:rPr>
            </w:pPr>
            <w:r>
              <w:rPr>
                <w:rFonts w:ascii="仿宋" w:hAnsi="仿宋" w:eastAsia="仿宋" w:cs="瀹嬩綋"/>
                <w:color w:val="000000"/>
                <w:sz w:val="22"/>
                <w:szCs w:val="24"/>
              </w:rPr>
              <w:t>（0≤X&lt;60）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瀹嬩綋"/>
                <w:color w:val="000000"/>
                <w:sz w:val="22"/>
                <w:szCs w:val="24"/>
              </w:rPr>
            </w:pPr>
            <w:r>
              <w:rPr>
                <w:rFonts w:ascii="仿宋" w:hAnsi="仿宋" w:eastAsia="仿宋" w:cs="瀹嬩綋"/>
                <w:color w:val="000000"/>
                <w:sz w:val="22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瀹嬩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瀹嬩綋"/>
                <w:color w:val="000000"/>
                <w:sz w:val="22"/>
                <w:szCs w:val="24"/>
              </w:rPr>
              <w:t>理论应用、</w:t>
            </w:r>
            <w:r>
              <w:rPr>
                <w:rFonts w:ascii="仿宋" w:hAnsi="仿宋" w:eastAsia="仿宋" w:cs="瀹嬩綋"/>
                <w:color w:val="000000"/>
                <w:sz w:val="22"/>
                <w:szCs w:val="24"/>
              </w:rPr>
              <w:t>分析水平、对策可行性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瀹嬩綋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ascii="仿宋" w:hAnsi="仿宋" w:eastAsia="仿宋" w:cs="瀹嬩綋"/>
                <w:color w:val="000000"/>
                <w:sz w:val="22"/>
                <w:szCs w:val="24"/>
              </w:rPr>
              <w:t>4</w:t>
            </w:r>
            <w:r>
              <w:rPr>
                <w:rFonts w:hint="eastAsia" w:ascii="仿宋" w:hAnsi="仿宋" w:eastAsia="仿宋" w:cs="瀹嬩綋"/>
                <w:color w:val="000000"/>
                <w:sz w:val="22"/>
                <w:szCs w:val="24"/>
                <w:lang w:val="en-US" w:eastAsia="zh-CN"/>
              </w:rPr>
              <w:t>0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ascii="仿宋" w:hAnsi="仿宋" w:eastAsia="仿宋" w:cs="瀹嬩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瀹嬩綋"/>
                <w:color w:val="000000"/>
                <w:sz w:val="22"/>
                <w:szCs w:val="24"/>
              </w:rPr>
              <w:t>使用的公共管理理论和工具准确、合理；有恰当的分析框架，逻辑性强；分析深刻且准确；建议具</w:t>
            </w:r>
            <w:r>
              <w:rPr>
                <w:rFonts w:ascii="仿宋" w:hAnsi="仿宋" w:eastAsia="仿宋" w:cs="瀹嬩綋"/>
                <w:color w:val="000000"/>
                <w:sz w:val="22"/>
                <w:szCs w:val="24"/>
              </w:rPr>
              <w:t xml:space="preserve">有针对性、可行性和创新性。  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ascii="仿宋" w:hAnsi="仿宋" w:eastAsia="仿宋" w:cs="瀹嬩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瀹嬩綋"/>
                <w:color w:val="000000"/>
                <w:sz w:val="22"/>
                <w:szCs w:val="24"/>
              </w:rPr>
              <w:t>使用的公共管理理论和工具比较准确、比较合理；具有分析框架，逻辑性较好，分</w:t>
            </w:r>
            <w:r>
              <w:rPr>
                <w:rFonts w:ascii="仿宋" w:hAnsi="仿宋" w:eastAsia="仿宋" w:cs="瀹嬩綋"/>
                <w:color w:val="000000"/>
                <w:sz w:val="22"/>
                <w:szCs w:val="24"/>
              </w:rPr>
              <w:t>析具有一定深度；建议具有针对性、可行性。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" w:hAnsi="仿宋" w:eastAsia="仿宋" w:cs="瀹嬩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瀹嬩綋"/>
                <w:color w:val="000000"/>
                <w:sz w:val="22"/>
                <w:szCs w:val="24"/>
              </w:rPr>
              <w:t>使用的公共管理理论</w:t>
            </w:r>
            <w:r>
              <w:rPr>
                <w:rFonts w:ascii="仿宋" w:hAnsi="仿宋" w:eastAsia="仿宋" w:cs="瀹嬩綋"/>
                <w:color w:val="000000"/>
                <w:sz w:val="22"/>
                <w:szCs w:val="24"/>
              </w:rPr>
              <w:t xml:space="preserve">和工具基本准确；分析的结构性和逻辑性一般；建议具有可行性。  </w:t>
            </w:r>
          </w:p>
        </w:tc>
        <w:tc>
          <w:tcPr>
            <w:tcW w:w="2471" w:type="dxa"/>
            <w:vAlign w:val="center"/>
          </w:tcPr>
          <w:p>
            <w:pPr>
              <w:rPr>
                <w:rFonts w:ascii="仿宋" w:hAnsi="仿宋" w:eastAsia="仿宋" w:cs="瀹嬩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瀹嬩綋"/>
                <w:color w:val="000000"/>
                <w:sz w:val="22"/>
                <w:szCs w:val="24"/>
              </w:rPr>
              <w:t>使用的公共管理理</w:t>
            </w:r>
            <w:r>
              <w:rPr>
                <w:rFonts w:ascii="仿宋" w:hAnsi="仿宋" w:eastAsia="仿宋" w:cs="瀹嬩綋"/>
                <w:color w:val="000000"/>
                <w:sz w:val="22"/>
                <w:szCs w:val="24"/>
              </w:rPr>
              <w:t xml:space="preserve">论和工具不准确；分析的结构性差，逻辑不清晰；建议缺少针对性和可操作性。  </w:t>
            </w:r>
          </w:p>
        </w:tc>
      </w:tr>
    </w:tbl>
    <w:p>
      <w:pPr>
        <w:rPr>
          <w:rFonts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3NTE4MDQwNWI4YjMxOWNiN2IwNmQwNDVlYWI5NTMifQ=="/>
  </w:docVars>
  <w:rsids>
    <w:rsidRoot w:val="00FA11E9"/>
    <w:rsid w:val="00125E5A"/>
    <w:rsid w:val="001D200F"/>
    <w:rsid w:val="00203BE9"/>
    <w:rsid w:val="002D648D"/>
    <w:rsid w:val="00335475"/>
    <w:rsid w:val="0037733F"/>
    <w:rsid w:val="003D1622"/>
    <w:rsid w:val="004B0B84"/>
    <w:rsid w:val="00561731"/>
    <w:rsid w:val="00603609"/>
    <w:rsid w:val="0061079A"/>
    <w:rsid w:val="00652D2B"/>
    <w:rsid w:val="00834FAC"/>
    <w:rsid w:val="008E58F2"/>
    <w:rsid w:val="009E47A8"/>
    <w:rsid w:val="00A04786"/>
    <w:rsid w:val="00A97B77"/>
    <w:rsid w:val="00AB6F62"/>
    <w:rsid w:val="00BE61C4"/>
    <w:rsid w:val="00C268ED"/>
    <w:rsid w:val="00C405C7"/>
    <w:rsid w:val="00CE345B"/>
    <w:rsid w:val="00D01C77"/>
    <w:rsid w:val="00FA11E9"/>
    <w:rsid w:val="03F8524D"/>
    <w:rsid w:val="08EE3C1F"/>
    <w:rsid w:val="420C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854</Words>
  <Characters>888</Characters>
  <Lines>6</Lines>
  <Paragraphs>1</Paragraphs>
  <TotalTime>1</TotalTime>
  <ScaleCrop>false</ScaleCrop>
  <LinksUpToDate>false</LinksUpToDate>
  <CharactersWithSpaces>900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2021-06-18T06:39:00Z</dcterms:created>
  <dc:creator>李 婷</dc:creator>
  <cp:lastModifiedBy>gofishing</cp:lastModifiedBy>
  <dcterms:modified xsi:type="dcterms:W3CDTF">2023-06-06T11:08:48Z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B7502E1AC518413D9268A0A0D2CC374B_12</vt:lpwstr>
  </property>
</Properties>
</file>