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594E3">
      <w:pPr>
        <w:rPr>
          <w:rFonts w:hint="default" w:ascii="Times New Roman" w:hAnsi="Times New Roman" w:eastAsia="黑体" w:cs="Times New Roman"/>
          <w:sz w:val="28"/>
          <w:szCs w:val="28"/>
        </w:rPr>
      </w:pPr>
      <w:bookmarkStart w:id="0" w:name="_GoBack"/>
      <w:r>
        <w:rPr>
          <w:rFonts w:hint="default" w:ascii="Times New Roman" w:hAnsi="Times New Roman" w:eastAsia="黑体" w:cs="Times New Roman"/>
          <w:sz w:val="28"/>
          <w:szCs w:val="28"/>
        </w:rPr>
        <w:t>附件1</w:t>
      </w:r>
    </w:p>
    <w:p w14:paraId="4C80C0C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2025年全国高校黄大年式教师团队创建指标</w:t>
      </w:r>
      <w:bookmarkEnd w:id="0"/>
    </w:p>
    <w:tbl>
      <w:tblPr>
        <w:tblStyle w:val="9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258"/>
        <w:gridCol w:w="5790"/>
        <w:gridCol w:w="643"/>
      </w:tblGrid>
      <w:tr w14:paraId="3372FD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2D7A4F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一级指标</w:t>
            </w:r>
          </w:p>
        </w:tc>
        <w:tc>
          <w:tcPr>
            <w:tcW w:w="6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9AA350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二级指标</w:t>
            </w:r>
          </w:p>
        </w:tc>
        <w:tc>
          <w:tcPr>
            <w:tcW w:w="3195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4FB177FE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三级指标</w:t>
            </w:r>
          </w:p>
        </w:tc>
        <w:tc>
          <w:tcPr>
            <w:tcW w:w="355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4B25F858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分值</w:t>
            </w:r>
          </w:p>
        </w:tc>
      </w:tr>
      <w:tr w14:paraId="25167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756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 w14:paraId="7852A751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思想政治与师德师风</w:t>
            </w:r>
          </w:p>
          <w:p w14:paraId="2F016598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（20分）</w:t>
            </w:r>
          </w:p>
        </w:tc>
        <w:tc>
          <w:tcPr>
            <w:tcW w:w="694" w:type="pc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 w14:paraId="2211E6E4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  <w:t>理想信念</w:t>
            </w:r>
          </w:p>
        </w:tc>
        <w:tc>
          <w:tcPr>
            <w:tcW w:w="3195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748D65">
            <w:pPr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.坚持以习近平新时代中国特色社会主义思想为指导，深入贯彻党的二十大和二十届二中、三中全会精神，全面贯彻习近平总书记关于教育的重要论述，深刻领悟“两个确立”的决定性意义，增强“四个意识”、坚定“四个自信”、做到“两个维护”。</w:t>
            </w:r>
          </w:p>
          <w:p w14:paraId="4765C30F">
            <w:pPr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2.深入学习全国教育大会精神，弘扬教育家精神，将立德树人根本任务贯穿团队建设全过程，引导学生坚定理想信念、厚植爱国主义情怀、加强品德修养、增长知识见识、培养奋斗精神、增强综合素质。</w:t>
            </w:r>
          </w:p>
        </w:tc>
        <w:tc>
          <w:tcPr>
            <w:tcW w:w="355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45038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</w:t>
            </w:r>
          </w:p>
        </w:tc>
      </w:tr>
      <w:tr w14:paraId="6B3012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pct"/>
            <w:vMerge w:val="continue"/>
            <w:tcBorders>
              <w:left w:val="single" w:color="000000" w:sz="6" w:space="0"/>
              <w:right w:val="single" w:color="auto" w:sz="4" w:space="0"/>
            </w:tcBorders>
            <w:noWrap w:val="0"/>
            <w:vAlign w:val="top"/>
          </w:tcPr>
          <w:p w14:paraId="2A52576C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94" w:type="pct"/>
            <w:tcBorders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 w14:paraId="2B27DCD9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  <w:t>师德师风</w:t>
            </w:r>
          </w:p>
        </w:tc>
        <w:tc>
          <w:tcPr>
            <w:tcW w:w="3195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51754E">
            <w:pPr>
              <w:tabs>
                <w:tab w:val="left" w:pos="312"/>
              </w:tabs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1.团队负责人以德立身、以德立学、以德立教，模范践行社会主义核心价值观，以赤诚之心、奉献之心、仁爱之心投身教育事业；团队教师品德高尚，淡泊名利，为人师表，广受师生好评。</w:t>
            </w:r>
          </w:p>
          <w:p w14:paraId="29C1A2DD">
            <w:pPr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2.大力弘扬教育家精神，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  <w:t>立志做“大先生”，潜心做大学问，努力育大英才。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充分发挥教学示范、科研模范作用，挖掘师德典型，讲好师德故事。</w:t>
            </w:r>
          </w:p>
          <w:p w14:paraId="20CF2176">
            <w:pPr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3.注重师德师风建设，有明确的师德师风考核办法，将师德考核摆在教师考核的首位，全体成员均未出现任何违反党风党纪、师德违规、学术不端的情形。</w:t>
            </w:r>
          </w:p>
          <w:p w14:paraId="70862EB0">
            <w:pPr>
              <w:spacing w:line="4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4.团队成员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  <w:t>被选树为“时代楷模”“全国教书育人楷模”、全国“最美教师”或获评“全国模范教师”“全国优秀教师”等优先考虑。</w:t>
            </w:r>
          </w:p>
        </w:tc>
        <w:tc>
          <w:tcPr>
            <w:tcW w:w="355" w:type="pct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F492F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</w:t>
            </w:r>
          </w:p>
        </w:tc>
      </w:tr>
      <w:tr w14:paraId="05E05E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756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3EA926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教育教学</w:t>
            </w:r>
          </w:p>
          <w:p w14:paraId="788C5C24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（25分）</w:t>
            </w:r>
          </w:p>
        </w:tc>
        <w:tc>
          <w:tcPr>
            <w:tcW w:w="694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778EC6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育人理念</w:t>
            </w:r>
          </w:p>
        </w:tc>
        <w:tc>
          <w:tcPr>
            <w:tcW w:w="3195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06A4E2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1.以强大的思政引领力确保人才培养方向，将思想政治工作贯穿教育教学全过程，积极开展课程思政，实现全员育人、全程育人、全方位育人。</w:t>
            </w:r>
          </w:p>
          <w:p w14:paraId="23C74185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  <w:t>有先进的教育教学理念，注重科技教育与人文教育协同，构建“五育并举”育人新格局，注重产教融合、科教融汇、学科交叉融合。及时将最新科研成果融入教学过程，以高水平科学研究支撑高质量人才培养。注重校企协同育人，培养学生的创新实践能力。</w:t>
            </w:r>
          </w:p>
        </w:tc>
        <w:tc>
          <w:tcPr>
            <w:tcW w:w="355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FED9E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5</w:t>
            </w:r>
          </w:p>
        </w:tc>
      </w:tr>
      <w:tr w14:paraId="3A9385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756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5956BDC5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94" w:type="pct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89AFCD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课程与教材建设</w:t>
            </w:r>
          </w:p>
        </w:tc>
        <w:tc>
          <w:tcPr>
            <w:tcW w:w="3195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9B5CCE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1.团队成员均承担授课任务，特别是高级职称教师承担本专科生课程、研究生公共基础课程。</w:t>
            </w:r>
          </w:p>
          <w:p w14:paraId="403271B4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2.开设专业核心课程、学科前沿课程、学科交叉课程和精品数字课程。主持或参与课程体系建设和精品教材编写。</w:t>
            </w:r>
          </w:p>
        </w:tc>
        <w:tc>
          <w:tcPr>
            <w:tcW w:w="355" w:type="pct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96167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5</w:t>
            </w:r>
          </w:p>
        </w:tc>
      </w:tr>
      <w:tr w14:paraId="22FEEF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56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22B50344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94" w:type="pct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D231E7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教学改革与研究</w:t>
            </w:r>
          </w:p>
        </w:tc>
        <w:tc>
          <w:tcPr>
            <w:tcW w:w="3195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584CB3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  <w:t>重视教育教学研究，在课程建设与教学改革等方面有突出成果，并应用于教学实践，有效提高人才培养质量。</w:t>
            </w:r>
          </w:p>
        </w:tc>
        <w:tc>
          <w:tcPr>
            <w:tcW w:w="355" w:type="pct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41152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5</w:t>
            </w:r>
          </w:p>
        </w:tc>
      </w:tr>
      <w:tr w14:paraId="4D7C34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  <w:jc w:val="center"/>
        </w:trPr>
        <w:tc>
          <w:tcPr>
            <w:tcW w:w="756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64C108B8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94" w:type="pct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86DF09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教学效果</w:t>
            </w:r>
          </w:p>
        </w:tc>
        <w:tc>
          <w:tcPr>
            <w:tcW w:w="3195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CE1FC4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  <w:t>1.具有科学合理的教学评价标准及考核方案。教学效果显著，学生的学习兴趣、学习参与、学习收获、学习能力等方面显著提高。</w:t>
            </w:r>
          </w:p>
          <w:p w14:paraId="7341BBEE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获国家级、省级教学成果奖，有国家级、省级教学名师，或在各类教学竞赛中获奖。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  <w:t>指导学生在各类竞赛中获得省级以上奖项，取得高水平学术成果。</w:t>
            </w:r>
          </w:p>
        </w:tc>
        <w:tc>
          <w:tcPr>
            <w:tcW w:w="355" w:type="pct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2F9F3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</w:t>
            </w:r>
          </w:p>
        </w:tc>
      </w:tr>
      <w:tr w14:paraId="34A0C0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exact"/>
          <w:jc w:val="center"/>
        </w:trPr>
        <w:tc>
          <w:tcPr>
            <w:tcW w:w="756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8BC1C1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科研创新</w:t>
            </w:r>
          </w:p>
          <w:p w14:paraId="4F19F1F7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（25分）</w:t>
            </w:r>
          </w:p>
        </w:tc>
        <w:tc>
          <w:tcPr>
            <w:tcW w:w="694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C6B067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服务国家</w:t>
            </w:r>
          </w:p>
          <w:p w14:paraId="0E1A9BD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战略</w:t>
            </w:r>
          </w:p>
        </w:tc>
        <w:tc>
          <w:tcPr>
            <w:tcW w:w="3195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30418E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  <w:t>面向世界科技前沿、面向经济主战场、面向国家重大需求、面向人民生命健康，聚焦国家重大战略和地方经济社会发展，开展有组织科研，或提供咨询报告与咨政建议。</w:t>
            </w:r>
          </w:p>
          <w:p w14:paraId="4620FD07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  <w:t>2.致力于学科理论创新，助力构建或完善中国特色的学科专业理论体系，探索建立科技创新与人才培养相互支撑机制，在加快一流学科建设、完善拔尖创新人才发现和培养机制、构建中国特色哲学社会科学体系等方面作出重要探索。</w:t>
            </w:r>
          </w:p>
        </w:tc>
        <w:tc>
          <w:tcPr>
            <w:tcW w:w="355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EA689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</w:t>
            </w:r>
          </w:p>
        </w:tc>
      </w:tr>
      <w:tr w14:paraId="48C958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  <w:jc w:val="center"/>
        </w:trPr>
        <w:tc>
          <w:tcPr>
            <w:tcW w:w="756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65935F99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694" w:type="pct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D5D49E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  <w:t>创新成果</w:t>
            </w:r>
          </w:p>
        </w:tc>
        <w:tc>
          <w:tcPr>
            <w:tcW w:w="3195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CA7BA4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  <w:t>开展基础性研究、原创性研究、前沿交叉研究，承担或参与国家和地方重点科研课题、重大科研项目，取得系列代表性成果，对关键共性技术、前沿引领技术、现代工程技术、颠覆性技术的攻关和突破作出贡献。</w:t>
            </w:r>
          </w:p>
          <w:p w14:paraId="3CAFDA90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  <w:t>开展应用研究，深化产教融合、校企合作，聚焦区域产业发展的技术技能重大问题，推进应用技术攻关和成果转化，发展新质生产力。服务高端制造业，在重点技术领域开展科研，产学研结合获得突出成果。</w:t>
            </w:r>
          </w:p>
        </w:tc>
        <w:tc>
          <w:tcPr>
            <w:tcW w:w="355" w:type="pct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CF722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</w:t>
            </w:r>
          </w:p>
        </w:tc>
      </w:tr>
      <w:tr w14:paraId="5AFF7E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756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2783A32C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694" w:type="pct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B65041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国际影响</w:t>
            </w:r>
          </w:p>
        </w:tc>
        <w:tc>
          <w:tcPr>
            <w:tcW w:w="3195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9E45F7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  <w:t>积极加强团队国际传播能力建设，为讲好中国故事，传播中国声音作出突出贡献，致力于提升中国的国际话语权。</w:t>
            </w:r>
          </w:p>
          <w:p w14:paraId="7D96BFA1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2.提升全球人才培养和集聚能力，扩大国际学术交流和教育科研合作，积极参与全球教育治理。</w:t>
            </w:r>
          </w:p>
        </w:tc>
        <w:tc>
          <w:tcPr>
            <w:tcW w:w="355" w:type="pct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2700B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5</w:t>
            </w:r>
          </w:p>
        </w:tc>
      </w:tr>
      <w:tr w14:paraId="448DD2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exact"/>
          <w:jc w:val="center"/>
        </w:trPr>
        <w:tc>
          <w:tcPr>
            <w:tcW w:w="756" w:type="pct"/>
            <w:vMerge w:val="restart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A16CB2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社会服务</w:t>
            </w:r>
          </w:p>
          <w:p w14:paraId="3C5BE65F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（20分）</w:t>
            </w:r>
          </w:p>
        </w:tc>
        <w:tc>
          <w:tcPr>
            <w:tcW w:w="694" w:type="pct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6044E9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实践育人</w:t>
            </w:r>
          </w:p>
        </w:tc>
        <w:tc>
          <w:tcPr>
            <w:tcW w:w="3195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C53EFE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1.积极开展社会实践，组织志愿服务，结合区域特色，整合学校资源，为学生搭建社会实践桥梁。建设专业相关实践基地，因地制宜开展社会实践活动。</w:t>
            </w:r>
          </w:p>
          <w:p w14:paraId="66F74634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2.积极参与支教、帮扶、参加“一带一路”及国际组织援外等交流活动。</w:t>
            </w:r>
          </w:p>
          <w:p w14:paraId="09F02940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3.积极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  <w:t>参与学科建设、人才培训、科技推广、专家咨询和承担公共学术事务等方面的工作。</w:t>
            </w:r>
          </w:p>
          <w:p w14:paraId="396E4BEA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  <w:t>4.注重完善创新创业教育体系，优化就业创业指导服务。</w:t>
            </w:r>
          </w:p>
        </w:tc>
        <w:tc>
          <w:tcPr>
            <w:tcW w:w="355" w:type="pct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855CD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</w:t>
            </w:r>
          </w:p>
        </w:tc>
      </w:tr>
      <w:tr w14:paraId="160609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exact"/>
          <w:jc w:val="center"/>
        </w:trPr>
        <w:tc>
          <w:tcPr>
            <w:tcW w:w="756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4E2C3D3D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94" w:type="pct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2653F8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成果转化</w:t>
            </w:r>
          </w:p>
        </w:tc>
        <w:tc>
          <w:tcPr>
            <w:tcW w:w="3195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8CA9A7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1.面向国家战略，主动承担社会机构事务，结合实际问题开展应用研究，服务区域经济社会发展，充分发挥智库作用，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  <w:t>拓展科研工作的社会效益。</w:t>
            </w:r>
          </w:p>
          <w:p w14:paraId="527F8E02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2.注重科研成果转化，面向行业企业实际需求，开展相关生产、技术和培训服务，独立或与行业企业合作开展技术应用性研究及应用推广。</w:t>
            </w:r>
          </w:p>
        </w:tc>
        <w:tc>
          <w:tcPr>
            <w:tcW w:w="355" w:type="pct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586E8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</w:t>
            </w:r>
          </w:p>
        </w:tc>
      </w:tr>
      <w:tr w14:paraId="129C81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  <w:jc w:val="center"/>
        </w:trPr>
        <w:tc>
          <w:tcPr>
            <w:tcW w:w="756" w:type="pct"/>
            <w:vMerge w:val="restart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265910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团队建设</w:t>
            </w:r>
          </w:p>
          <w:p w14:paraId="25C3D546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（10分）</w:t>
            </w:r>
          </w:p>
        </w:tc>
        <w:tc>
          <w:tcPr>
            <w:tcW w:w="694" w:type="pct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B88084">
            <w:pPr>
              <w:pStyle w:val="6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团队结构</w:t>
            </w:r>
          </w:p>
        </w:tc>
        <w:tc>
          <w:tcPr>
            <w:tcW w:w="3195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901A1F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团队负责人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  <w:t>应为相关学科平台的负责人或主持、承担过重要科研项目或国家级教学名师，在国内外同领域具有较高学术地位和知名度，有较强组织协调能力和合作精神，在群体中发挥凝聚作用。</w:t>
            </w:r>
          </w:p>
          <w:p w14:paraId="37F32E12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.团队人数配置、专业结构合理。人文社科类团队成员8-25人，理工科类团队成员20-60人，主持重大科研项目团队的成员数量可适当放宽。鼓励学科交叉，坚决杜绝人员组合“拉郎配”现象，团队主要成员在教学、科研、社会服务等方面有较好的合作基础，分工科学合理。</w:t>
            </w:r>
          </w:p>
        </w:tc>
        <w:tc>
          <w:tcPr>
            <w:tcW w:w="355" w:type="pct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56C55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5</w:t>
            </w:r>
          </w:p>
        </w:tc>
      </w:tr>
      <w:tr w14:paraId="069FDE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exact"/>
          <w:jc w:val="center"/>
        </w:trPr>
        <w:tc>
          <w:tcPr>
            <w:tcW w:w="756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7C41799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694" w:type="pct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418C84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</w:rPr>
              <w:t>建设机制</w:t>
            </w:r>
          </w:p>
        </w:tc>
        <w:tc>
          <w:tcPr>
            <w:tcW w:w="3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30C0EC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1.坚持党管人才原则，突出育人育才团队发展战略，建设水平高超、梯队衔接、结构合理、持续发展的教师团队。</w:t>
            </w:r>
          </w:p>
          <w:p w14:paraId="4B557FC0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2.团队应有明确的发展规划以及规范的成员培训计划，定期开展学习交流，积极组织成员参加国内外教学培训和学术交流会议，建立老中青“传帮带”机制，为团队教师专业成长搭建发展平台。</w:t>
            </w:r>
          </w:p>
        </w:tc>
        <w:tc>
          <w:tcPr>
            <w:tcW w:w="355" w:type="pct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CE4B9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5</w:t>
            </w:r>
          </w:p>
        </w:tc>
      </w:tr>
      <w:tr w14:paraId="2AD381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50" w:type="pct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ED551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总  计</w:t>
            </w:r>
          </w:p>
        </w:tc>
        <w:tc>
          <w:tcPr>
            <w:tcW w:w="3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F5350D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55" w:type="pc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95A62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100</w:t>
            </w:r>
          </w:p>
        </w:tc>
      </w:tr>
    </w:tbl>
    <w:p w14:paraId="1100C75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 w14:paraId="7AC513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F1BB4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21E474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iiZIt4BAAC+AwAADgAAAGRycy9lMm9Eb2MueG1srVNLjhMxEN0jcQfL&#10;e+KeSIO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OKJki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21E474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21857"/>
    <w:rsid w:val="001E2D8F"/>
    <w:rsid w:val="1D823B78"/>
    <w:rsid w:val="222C0C9D"/>
    <w:rsid w:val="5CA21857"/>
    <w:rsid w:val="6013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11"/>
    <w:qFormat/>
    <w:uiPriority w:val="0"/>
    <w:pPr>
      <w:keepNext/>
      <w:keepLines/>
      <w:spacing w:before="50" w:beforeLines="50" w:after="50" w:afterLines="50"/>
      <w:ind w:firstLine="0" w:firstLineChars="0"/>
      <w:jc w:val="center"/>
      <w:outlineLvl w:val="0"/>
    </w:pPr>
    <w:rPr>
      <w:rFonts w:ascii="黑体" w:hAnsi="黑体" w:eastAsia="微软雅黑" w:cs="Times New Roman"/>
      <w:b/>
      <w:color w:val="000000" w:themeColor="text1"/>
      <w:sz w:val="32"/>
      <w:szCs w:val="44"/>
      <w14:textFill>
        <w14:solidFill>
          <w14:schemeClr w14:val="tx1"/>
        </w14:solidFill>
      </w14:textFill>
    </w:rPr>
  </w:style>
  <w:style w:type="paragraph" w:styleId="4">
    <w:name w:val="heading 2"/>
    <w:basedOn w:val="3"/>
    <w:next w:val="1"/>
    <w:link w:val="12"/>
    <w:semiHidden/>
    <w:unhideWhenUsed/>
    <w:qFormat/>
    <w:uiPriority w:val="0"/>
    <w:pPr>
      <w:keepNext/>
      <w:keepLines/>
      <w:spacing w:before="50" w:beforeLines="50" w:after="50" w:afterLines="50"/>
      <w:ind w:firstLine="0" w:firstLineChars="0"/>
      <w:jc w:val="left"/>
      <w:outlineLvl w:val="1"/>
    </w:pPr>
    <w:rPr>
      <w:rFonts w:ascii="Times New Roman" w:hAnsi="Times New Roman" w:eastAsia="宋体" w:cs="Times New Roman"/>
      <w:b/>
      <w:color w:val="000000" w:themeColor="text1"/>
      <w:sz w:val="24"/>
      <w:szCs w:val="20"/>
      <w14:textFill>
        <w14:solidFill>
          <w14:schemeClr w14:val="tx1"/>
        </w14:solidFill>
      </w14:textFill>
    </w:rPr>
  </w:style>
  <w:style w:type="paragraph" w:styleId="5">
    <w:name w:val="heading 3"/>
    <w:basedOn w:val="3"/>
    <w:next w:val="1"/>
    <w:link w:val="13"/>
    <w:semiHidden/>
    <w:unhideWhenUsed/>
    <w:qFormat/>
    <w:uiPriority w:val="0"/>
    <w:pPr>
      <w:keepNext/>
      <w:keepLines/>
      <w:spacing w:before="50" w:beforeLines="50" w:after="50" w:afterLines="50"/>
      <w:ind w:left="105" w:leftChars="50" w:right="105" w:rightChars="50" w:firstLine="0" w:firstLineChars="0"/>
      <w:outlineLvl w:val="2"/>
    </w:pPr>
    <w:rPr>
      <w:rFonts w:hAnsi="宋体" w:eastAsia="宋体" w:cs="Times New Roman"/>
      <w:b/>
      <w:bCs/>
      <w:szCs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6">
    <w:name w:val="Normal Indent"/>
    <w:basedOn w:val="1"/>
    <w:unhideWhenUsed/>
    <w:qFormat/>
    <w:uiPriority w:val="0"/>
    <w:pPr>
      <w:ind w:firstLine="420" w:firstLineChars="200"/>
    </w:pPr>
    <w:rPr>
      <w:rFonts w:ascii="Times New Roman" w:hAnsi="Times New Roman" w:eastAsia="仿宋_GB2312"/>
      <w:sz w:val="32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标题 1 字符"/>
    <w:link w:val="2"/>
    <w:qFormat/>
    <w:uiPriority w:val="0"/>
    <w:rPr>
      <w:rFonts w:ascii="黑体" w:hAnsi="黑体" w:eastAsia="微软雅黑" w:cs="Times New Roman"/>
      <w:b/>
      <w:color w:val="000000" w:themeColor="text1"/>
      <w:kern w:val="2"/>
      <w:sz w:val="32"/>
      <w:szCs w:val="44"/>
      <w14:textFill>
        <w14:solidFill>
          <w14:schemeClr w14:val="tx1"/>
        </w14:solidFill>
      </w14:textFill>
    </w:rPr>
  </w:style>
  <w:style w:type="character" w:customStyle="1" w:styleId="12">
    <w:name w:val="标题 2 字符"/>
    <w:link w:val="4"/>
    <w:qFormat/>
    <w:uiPriority w:val="0"/>
    <w:rPr>
      <w:rFonts w:ascii="Times New Roman" w:hAnsi="Times New Roman" w:eastAsia="宋体" w:cs="Times New Roman"/>
      <w:b/>
      <w:color w:val="000000" w:themeColor="text1"/>
      <w:kern w:val="2"/>
      <w:sz w:val="24"/>
      <w:szCs w:val="20"/>
      <w14:textFill>
        <w14:solidFill>
          <w14:schemeClr w14:val="tx1"/>
        </w14:solidFill>
      </w14:textFill>
    </w:rPr>
  </w:style>
  <w:style w:type="character" w:customStyle="1" w:styleId="13">
    <w:name w:val="标题 3 字符"/>
    <w:link w:val="5"/>
    <w:qFormat/>
    <w:uiPriority w:val="0"/>
    <w:rPr>
      <w:rFonts w:hAnsi="宋体" w:eastAsia="宋体" w:cs="Times New Roman"/>
      <w:b/>
      <w:bCs/>
      <w:kern w:val="2"/>
      <w:sz w:val="24"/>
      <w:szCs w:val="32"/>
      <w:lang w:val="en-US" w:eastAsia="zh-CN" w:bidi="ar-SA"/>
    </w:rPr>
  </w:style>
  <w:style w:type="paragraph" w:customStyle="1" w:styleId="14">
    <w:name w:val="图片"/>
    <w:basedOn w:val="1"/>
    <w:qFormat/>
    <w:uiPriority w:val="0"/>
    <w:rPr>
      <w:rFonts w:hint="eastAsia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2025-09-05T09:57:00Z</dcterms:created>
  <dc:creator>Dimple</dc:creator>
  <cp:lastModifiedBy>Dimple</cp:lastModifiedBy>
  <dcterms:modified xsi:type="dcterms:W3CDTF">2025-09-05T09:57:55Z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84D790CF723F48A5AC187B015633CADC_11</vt:lpwstr>
  </property>
  <property fmtid="{D5CDD505-2E9C-101B-9397-08002B2CF9AE}" pid="4" name="KSOTemplateDocerSaveRecord">
    <vt:lpwstr>eyJoZGlkIjoiZThmNjAzMWJlZjFkMmQwODUwMTJkYzE2ODFiYmFmYTciLCJ1c2VySWQiOiIxNTM0OTI1MDM1In0=</vt:lpwstr>
  </property>
</Properties>
</file>