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D5325">
      <w:pPr>
        <w:spacing w:before="73" w:line="226" w:lineRule="auto"/>
        <w:jc w:val="center"/>
      </w:pPr>
      <w:bookmarkStart w:id="0" w:name="_GoBack"/>
      <w:r>
        <w:rPr>
          <w:rFonts w:hint="eastAsia" w:ascii="黑体" w:hAnsi="黑体" w:eastAsia="黑体" w:cs="黑体"/>
          <w:spacing w:val="7"/>
          <w:sz w:val="35"/>
          <w:szCs w:val="35"/>
          <w:lang w:val="en-US" w:eastAsia="zh-CN"/>
        </w:rPr>
        <w:t>9.</w:t>
      </w:r>
      <w:r>
        <w:rPr>
          <w:rFonts w:ascii="黑体" w:hAnsi="黑体" w:eastAsia="黑体" w:cs="黑体"/>
          <w:spacing w:val="7"/>
          <w:sz w:val="35"/>
          <w:szCs w:val="35"/>
        </w:rPr>
        <w:t>校内专业设置评议专家组意见表</w:t>
      </w:r>
    </w:p>
    <w:bookmarkEnd w:id="0"/>
    <w:tbl>
      <w:tblPr>
        <w:tblStyle w:val="4"/>
        <w:tblW w:w="85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8"/>
        <w:gridCol w:w="1522"/>
        <w:gridCol w:w="263"/>
        <w:gridCol w:w="1403"/>
        <w:gridCol w:w="1407"/>
        <w:gridCol w:w="2372"/>
      </w:tblGrid>
      <w:tr w14:paraId="06F936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4" w:hRule="atLeast"/>
        </w:trPr>
        <w:tc>
          <w:tcPr>
            <w:tcW w:w="6153" w:type="dxa"/>
            <w:gridSpan w:val="5"/>
            <w:vAlign w:val="center"/>
          </w:tcPr>
          <w:p w14:paraId="051BE7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229" w:lineRule="auto"/>
              <w:jc w:val="center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5"/>
                <w:sz w:val="22"/>
                <w:szCs w:val="22"/>
              </w:rPr>
              <w:t>总体判断拟开设专业是否可行</w:t>
            </w:r>
          </w:p>
        </w:tc>
        <w:tc>
          <w:tcPr>
            <w:tcW w:w="2372" w:type="dxa"/>
            <w:vAlign w:val="center"/>
          </w:tcPr>
          <w:p w14:paraId="3EC280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233" w:lineRule="auto"/>
              <w:jc w:val="center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2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□否</w:t>
            </w:r>
          </w:p>
        </w:tc>
      </w:tr>
      <w:tr w14:paraId="5D2BDF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383" w:hRule="atLeast"/>
        </w:trPr>
        <w:tc>
          <w:tcPr>
            <w:tcW w:w="8525" w:type="dxa"/>
            <w:gridSpan w:val="6"/>
            <w:vAlign w:val="top"/>
          </w:tcPr>
          <w:p w14:paraId="501E15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5" w:line="244" w:lineRule="auto"/>
              <w:ind w:left="14" w:right="9" w:firstLine="468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第一，从专业设置的必要性和可行性看。当前心理健康问题日益受到社会关注，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音乐治疗作为一种兼具艺术性与科学性的心理干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预手段，在临床治疗、特殊教育、养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老关怀等领域展现出独特价值，其专业人才需求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呈现爆发式增长，开设音乐治疗专业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契合时代发展需求；学校拥有音乐学与心理学交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叉融合的学科优势，汇聚了一批兼具</w:t>
            </w: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音乐素养与心理学知识的优质师资，</w:t>
            </w:r>
            <w:r>
              <w:rPr>
                <w:rFonts w:ascii="仿宋" w:hAnsi="仿宋" w:eastAsia="仿宋" w:cs="仿宋"/>
                <w:spacing w:val="-52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同时配备专业的音乐治疗实验室和实践基地，能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够为该专业的建设提供全方位保障。该专业毕业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生可在医疗机构、康复中心、教育机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构等多元场景中发挥专业特长，就业前景十分广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阔，能够有效填补社会各领域对音乐</w:t>
            </w:r>
            <w:r>
              <w:rPr>
                <w:rFonts w:ascii="仿宋" w:hAnsi="仿宋" w:eastAsia="仿宋" w:cs="仿宋"/>
                <w:spacing w:val="3"/>
                <w:sz w:val="22"/>
                <w:szCs w:val="22"/>
              </w:rPr>
              <w:t>治疗专业人才的需求缺口。</w:t>
            </w:r>
          </w:p>
          <w:p w14:paraId="538D5E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244" w:lineRule="auto"/>
              <w:ind w:left="15" w:right="9" w:firstLine="468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7"/>
                <w:sz w:val="22"/>
                <w:szCs w:val="22"/>
              </w:rPr>
              <w:t>第二，从专业培养目标和课程设置看，该专业的培养目标清晰合理，</w:t>
            </w:r>
            <w:r>
              <w:rPr>
                <w:rFonts w:ascii="仿宋" w:hAnsi="仿宋" w:eastAsia="仿宋" w:cs="仿宋"/>
                <w:spacing w:val="-30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2"/>
                <w:szCs w:val="22"/>
              </w:rPr>
              <w:t>旨在培养德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、智、体、美、劳全面发展，系统掌握音乐学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、医学和心理学基础知识，熟练运用音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乐治疗技术与方法，具备扎实临床实践能力、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创新精神和人文关怀素养的高素质复合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型音乐治疗专业人才。课程体系科学完备，既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包含音乐基础理论与技能课程，如声乐</w:t>
            </w:r>
            <w:r>
              <w:rPr>
                <w:rFonts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、器乐、作曲、音乐史等，夯实音乐专业根基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；又设置心理学核心课程，如普通心理</w:t>
            </w: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学、心理咨询理论与技术等，构建心理干预知识框架；</w:t>
            </w:r>
            <w:r>
              <w:rPr>
                <w:rFonts w:ascii="仿宋" w:hAnsi="仿宋" w:eastAsia="仿宋" w:cs="仿宋"/>
                <w:spacing w:val="-53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同时配备音乐治疗专业课程，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涵盖音乐治疗基础理论、临床音乐治疗方法、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音乐治疗评估等内容，并通过大量临床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见习、实习和案例研讨，将理论与实践深度融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合，能够有效培养学生的专业核心能力</w:t>
            </w:r>
            <w:r>
              <w:rPr>
                <w:rFonts w:ascii="仿宋" w:hAnsi="仿宋" w:eastAsia="仿宋" w:cs="仿宋"/>
                <w:spacing w:val="6"/>
                <w:sz w:val="22"/>
                <w:szCs w:val="22"/>
              </w:rPr>
              <w:t>和综合职业素养。</w:t>
            </w:r>
          </w:p>
          <w:p w14:paraId="7A3DF8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250" w:lineRule="auto"/>
              <w:ind w:left="15" w:right="9" w:firstLine="468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第三，从教学资源保障看，学校组建了一支音乐教师、医学、心理学专家构成的</w:t>
            </w: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跨学科教师队伍，团队成员不仅具备深厚的学术造诣，还拥有丰富的临床实践和教学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经验，能够充分满足音乐治疗专业教学的多样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化需求。在硬件设施方面，学校配备了</w:t>
            </w: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专业的音乐治疗实验室，内含生物反馈设备、智能音乐分析系统等先进仪器，可开展音乐干预效果监测与数据分析；设有多间隔音琴房、</w:t>
            </w:r>
            <w:r>
              <w:rPr>
                <w:rFonts w:ascii="仿宋" w:hAnsi="仿宋" w:eastAsia="仿宋" w:cs="仿宋"/>
                <w:spacing w:val="-53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团体音乐治疗室，为学生提供模拟临床场景的实践空间。</w:t>
            </w:r>
            <w:r>
              <w:rPr>
                <w:rFonts w:ascii="仿宋" w:hAnsi="仿宋" w:eastAsia="仿宋" w:cs="仿宋"/>
                <w:spacing w:val="-53"/>
                <w:sz w:val="22"/>
                <w:szCs w:val="22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同时，学校与多家三甲医院精神科、康复中心、特殊教育学</w:t>
            </w: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校等建立了稳定的实习实践基地，让学生在真</w:t>
            </w: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实环境中积累治疗经验，提升专业技能</w:t>
            </w:r>
          </w:p>
          <w:p w14:paraId="688DC1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108" w:lineRule="exact"/>
              <w:ind w:left="32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position w:val="2"/>
                <w:sz w:val="22"/>
                <w:szCs w:val="22"/>
              </w:rPr>
              <w:t>。</w:t>
            </w:r>
          </w:p>
          <w:p w14:paraId="4306F9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49" w:lineRule="auto"/>
              <w:ind w:left="18" w:right="12" w:firstLine="458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9"/>
                <w:sz w:val="22"/>
                <w:szCs w:val="22"/>
              </w:rPr>
              <w:t>综上所述，专家组一致认为音乐治疗本科专业的设置既顺应社会需求，又具备充分的实施条件，是必要且可行的，建议学校批准该专业的申报。</w:t>
            </w:r>
          </w:p>
        </w:tc>
      </w:tr>
      <w:tr w14:paraId="4B7B9A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9" w:hRule="atLeast"/>
        </w:trPr>
        <w:tc>
          <w:tcPr>
            <w:tcW w:w="6153" w:type="dxa"/>
            <w:gridSpan w:val="5"/>
            <w:vAlign w:val="top"/>
          </w:tcPr>
          <w:p w14:paraId="6A1957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4" w:line="231" w:lineRule="auto"/>
              <w:ind w:left="1186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7"/>
                <w:sz w:val="22"/>
                <w:szCs w:val="22"/>
              </w:rPr>
              <w:t>拟招生人数与人才需求预测是否匹配</w:t>
            </w:r>
          </w:p>
        </w:tc>
        <w:tc>
          <w:tcPr>
            <w:tcW w:w="2372" w:type="dxa"/>
            <w:vAlign w:val="top"/>
          </w:tcPr>
          <w:p w14:paraId="3A5479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7" w:line="233" w:lineRule="auto"/>
              <w:ind w:left="573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2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□否</w:t>
            </w:r>
          </w:p>
        </w:tc>
      </w:tr>
      <w:tr w14:paraId="43D664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1" w:hRule="atLeast"/>
        </w:trPr>
        <w:tc>
          <w:tcPr>
            <w:tcW w:w="3080" w:type="dxa"/>
            <w:gridSpan w:val="2"/>
            <w:vMerge w:val="restart"/>
            <w:tcBorders>
              <w:bottom w:val="nil"/>
            </w:tcBorders>
            <w:vAlign w:val="top"/>
          </w:tcPr>
          <w:p w14:paraId="7A802D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9" w:lineRule="auto"/>
              <w:textAlignment w:val="baseline"/>
              <w:rPr>
                <w:rFonts w:ascii="Arial"/>
                <w:sz w:val="21"/>
              </w:rPr>
            </w:pPr>
          </w:p>
          <w:p w14:paraId="1FBBEE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9" w:lineRule="auto"/>
              <w:textAlignment w:val="baseline"/>
              <w:rPr>
                <w:rFonts w:ascii="Arial"/>
                <w:sz w:val="21"/>
              </w:rPr>
            </w:pPr>
          </w:p>
          <w:p w14:paraId="4DA814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line="433" w:lineRule="auto"/>
              <w:ind w:left="521" w:right="288" w:hanging="217"/>
              <w:textAlignment w:val="baseline"/>
              <w:rPr>
                <w:rFonts w:ascii="仿宋" w:hAnsi="仿宋" w:eastAsia="仿宋" w:cs="仿宋"/>
                <w:sz w:val="19"/>
                <w:szCs w:val="19"/>
              </w:rPr>
            </w:pPr>
            <w:r>
              <w:rPr>
                <w:rFonts w:ascii="仿宋" w:hAnsi="仿宋" w:eastAsia="仿宋" w:cs="仿宋"/>
                <w:spacing w:val="16"/>
                <w:sz w:val="19"/>
                <w:szCs w:val="19"/>
              </w:rPr>
              <w:t>本专业开设的基本条件是否</w:t>
            </w:r>
            <w:r>
              <w:rPr>
                <w:rFonts w:ascii="仿宋" w:hAnsi="仿宋" w:eastAsia="仿宋" w:cs="仿宋"/>
                <w:spacing w:val="15"/>
                <w:sz w:val="19"/>
                <w:szCs w:val="19"/>
              </w:rPr>
              <w:t>符合教学质量国家标准</w:t>
            </w:r>
          </w:p>
        </w:tc>
        <w:tc>
          <w:tcPr>
            <w:tcW w:w="3073" w:type="dxa"/>
            <w:gridSpan w:val="3"/>
            <w:vAlign w:val="top"/>
          </w:tcPr>
          <w:p w14:paraId="54F445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8" w:line="231" w:lineRule="auto"/>
              <w:ind w:left="1084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教师队伍</w:t>
            </w:r>
          </w:p>
        </w:tc>
        <w:tc>
          <w:tcPr>
            <w:tcW w:w="2372" w:type="dxa"/>
            <w:vAlign w:val="top"/>
          </w:tcPr>
          <w:p w14:paraId="24906A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33" w:lineRule="auto"/>
              <w:ind w:left="573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2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□否</w:t>
            </w:r>
          </w:p>
        </w:tc>
      </w:tr>
      <w:tr w14:paraId="623C7E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1" w:hRule="atLeast"/>
        </w:trPr>
        <w:tc>
          <w:tcPr>
            <w:tcW w:w="3080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3034F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073" w:type="dxa"/>
            <w:gridSpan w:val="3"/>
            <w:vAlign w:val="top"/>
          </w:tcPr>
          <w:p w14:paraId="1E7F7A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0" w:line="231" w:lineRule="auto"/>
              <w:ind w:left="1094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8"/>
                <w:sz w:val="22"/>
                <w:szCs w:val="22"/>
              </w:rPr>
              <w:t>实践条件</w:t>
            </w:r>
          </w:p>
        </w:tc>
        <w:tc>
          <w:tcPr>
            <w:tcW w:w="2372" w:type="dxa"/>
            <w:vAlign w:val="top"/>
          </w:tcPr>
          <w:p w14:paraId="117D1F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33" w:lineRule="auto"/>
              <w:ind w:left="573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2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□否</w:t>
            </w:r>
          </w:p>
        </w:tc>
      </w:tr>
      <w:tr w14:paraId="0910F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8" w:hRule="atLeast"/>
        </w:trPr>
        <w:tc>
          <w:tcPr>
            <w:tcW w:w="3080" w:type="dxa"/>
            <w:gridSpan w:val="2"/>
            <w:vMerge w:val="continue"/>
            <w:tcBorders>
              <w:top w:val="nil"/>
            </w:tcBorders>
            <w:vAlign w:val="top"/>
          </w:tcPr>
          <w:p w14:paraId="7FF2F3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073" w:type="dxa"/>
            <w:gridSpan w:val="3"/>
            <w:vAlign w:val="top"/>
          </w:tcPr>
          <w:p w14:paraId="71166B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7" w:line="229" w:lineRule="auto"/>
              <w:ind w:left="1085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10"/>
                <w:sz w:val="22"/>
                <w:szCs w:val="22"/>
              </w:rPr>
              <w:t>经费保障</w:t>
            </w:r>
          </w:p>
        </w:tc>
        <w:tc>
          <w:tcPr>
            <w:tcW w:w="2372" w:type="dxa"/>
            <w:vAlign w:val="top"/>
          </w:tcPr>
          <w:p w14:paraId="5F0D7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33" w:lineRule="auto"/>
              <w:ind w:left="573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MS UI Gothic" w:hAnsi="MS UI Gothic" w:eastAsia="MS UI Gothic" w:cs="MS UI Gothic"/>
                <w:spacing w:val="-2"/>
                <w:sz w:val="22"/>
                <w:szCs w:val="22"/>
              </w:rPr>
              <w:t>☑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是</w:t>
            </w:r>
            <w:r>
              <w:rPr>
                <w:rFonts w:ascii="仿宋" w:hAnsi="仿宋" w:eastAsia="仿宋" w:cs="仿宋"/>
                <w:spacing w:val="20"/>
                <w:sz w:val="22"/>
                <w:szCs w:val="22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□否</w:t>
            </w:r>
          </w:p>
        </w:tc>
      </w:tr>
      <w:tr w14:paraId="61E1E8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65" w:hRule="atLeast"/>
        </w:trPr>
        <w:tc>
          <w:tcPr>
            <w:tcW w:w="1558" w:type="dxa"/>
            <w:tcBorders>
              <w:right w:val="nil"/>
            </w:tcBorders>
            <w:vAlign w:val="top"/>
          </w:tcPr>
          <w:p w14:paraId="1B5629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231" w:lineRule="auto"/>
              <w:ind w:left="145"/>
              <w:textAlignment w:val="baseline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4"/>
                <w:sz w:val="22"/>
                <w:szCs w:val="22"/>
              </w:rPr>
              <w:t>专家组签字：</w:t>
            </w:r>
          </w:p>
          <w:p w14:paraId="79DCE0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1064" w:lineRule="exact"/>
              <w:ind w:firstLine="119"/>
              <w:textAlignment w:val="baseline"/>
            </w:pPr>
            <w:r>
              <w:rPr>
                <w:position w:val="-21"/>
              </w:rPr>
              <w:drawing>
                <wp:inline distT="0" distB="0" distL="0" distR="0">
                  <wp:extent cx="817880" cy="675640"/>
                  <wp:effectExtent l="0" t="0" r="1270" b="1016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262" cy="675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  <w:gridSpan w:val="2"/>
            <w:tcBorders>
              <w:left w:val="nil"/>
              <w:right w:val="nil"/>
            </w:tcBorders>
            <w:vAlign w:val="top"/>
          </w:tcPr>
          <w:p w14:paraId="7C0BC2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textAlignment w:val="baseline"/>
              <w:rPr>
                <w:rFonts w:ascii="Arial"/>
                <w:sz w:val="21"/>
              </w:rPr>
            </w:pPr>
          </w:p>
          <w:p w14:paraId="512653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6" w:lineRule="auto"/>
              <w:textAlignment w:val="baseline"/>
              <w:rPr>
                <w:rFonts w:ascii="Arial"/>
                <w:sz w:val="21"/>
              </w:rPr>
            </w:pPr>
          </w:p>
          <w:p w14:paraId="76E2D7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933" w:lineRule="exact"/>
              <w:ind w:firstLine="144"/>
              <w:textAlignment w:val="baseline"/>
            </w:pPr>
            <w:r>
              <w:rPr>
                <w:position w:val="-18"/>
              </w:rPr>
              <w:drawing>
                <wp:inline distT="0" distB="0" distL="0" distR="0">
                  <wp:extent cx="965835" cy="591820"/>
                  <wp:effectExtent l="0" t="0" r="5715" b="1778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6216" cy="592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" w:type="dxa"/>
            <w:tcBorders>
              <w:left w:val="nil"/>
              <w:right w:val="nil"/>
            </w:tcBorders>
            <w:vAlign w:val="top"/>
          </w:tcPr>
          <w:p w14:paraId="26756D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2" w:lineRule="auto"/>
              <w:textAlignment w:val="baseline"/>
              <w:rPr>
                <w:rFonts w:ascii="Arial"/>
                <w:sz w:val="21"/>
              </w:rPr>
            </w:pPr>
          </w:p>
          <w:p w14:paraId="7FB934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060" w:lineRule="exact"/>
              <w:ind w:firstLine="118"/>
              <w:textAlignment w:val="baseline"/>
            </w:pPr>
            <w:r>
              <w:rPr>
                <w:position w:val="-21"/>
              </w:rPr>
              <w:drawing>
                <wp:inline distT="0" distB="0" distL="0" distR="0">
                  <wp:extent cx="777240" cy="672465"/>
                  <wp:effectExtent l="0" t="0" r="3810" b="13335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" cy="673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9" w:type="dxa"/>
            <w:gridSpan w:val="2"/>
            <w:tcBorders>
              <w:left w:val="nil"/>
            </w:tcBorders>
            <w:vAlign w:val="top"/>
          </w:tcPr>
          <w:p w14:paraId="1AC1BC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0" w:lineRule="auto"/>
              <w:textAlignment w:val="baseline"/>
              <w:rPr>
                <w:rFonts w:ascii="Arial"/>
                <w:sz w:val="21"/>
              </w:rPr>
            </w:pPr>
          </w:p>
          <w:p w14:paraId="00571F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0" w:lineRule="auto"/>
              <w:textAlignment w:val="baseline"/>
              <w:rPr>
                <w:rFonts w:ascii="Arial"/>
                <w:sz w:val="21"/>
              </w:rPr>
            </w:pPr>
          </w:p>
          <w:p w14:paraId="720553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976" w:lineRule="exact"/>
              <w:ind w:firstLine="61"/>
              <w:textAlignment w:val="baseline"/>
            </w:pPr>
            <w:r>
              <w:rPr>
                <w:position w:val="-19"/>
              </w:rPr>
              <w:drawing>
                <wp:inline distT="0" distB="0" distL="0" distR="0">
                  <wp:extent cx="2224405" cy="619760"/>
                  <wp:effectExtent l="0" t="0" r="4445" b="889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5039" cy="619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58B8A9">
      <w:pPr>
        <w:spacing w:line="242" w:lineRule="auto"/>
        <w:rPr>
          <w:rFonts w:ascii="Arial"/>
          <w:sz w:val="21"/>
        </w:rPr>
      </w:pPr>
    </w:p>
    <w:p w14:paraId="77EA88CB">
      <w:pPr>
        <w:spacing w:before="114" w:line="227" w:lineRule="auto"/>
        <w:ind w:left="2528"/>
        <w:outlineLvl w:val="0"/>
      </w:pPr>
      <w:r>
        <w:rPr>
          <w:rFonts w:ascii="黑体" w:hAnsi="黑体" w:eastAsia="黑体" w:cs="黑体"/>
          <w:spacing w:val="8"/>
          <w:sz w:val="35"/>
          <w:szCs w:val="35"/>
        </w:rPr>
        <w:t>专家评议会议专家信息表</w:t>
      </w:r>
    </w:p>
    <w:p w14:paraId="2D9D24C3">
      <w:pPr>
        <w:spacing w:before="1"/>
      </w:pPr>
    </w:p>
    <w:tbl>
      <w:tblPr>
        <w:tblStyle w:val="4"/>
        <w:tblW w:w="8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7"/>
        <w:gridCol w:w="1984"/>
        <w:gridCol w:w="2803"/>
        <w:gridCol w:w="2434"/>
      </w:tblGrid>
      <w:tr w14:paraId="5D2AD2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777" w:type="dxa"/>
            <w:noWrap w:val="0"/>
            <w:vAlign w:val="center"/>
          </w:tcPr>
          <w:p w14:paraId="6ADC36D8">
            <w:pPr>
              <w:pStyle w:val="5"/>
              <w:spacing w:before="45" w:line="209" w:lineRule="auto"/>
              <w:jc w:val="center"/>
              <w:rPr>
                <w:sz w:val="28"/>
                <w:szCs w:val="28"/>
              </w:rPr>
            </w:pPr>
            <w:r>
              <w:rPr>
                <w:spacing w:val="-9"/>
                <w:sz w:val="28"/>
                <w:szCs w:val="28"/>
              </w:rPr>
              <w:t>姓名</w:t>
            </w:r>
          </w:p>
        </w:tc>
        <w:tc>
          <w:tcPr>
            <w:tcW w:w="1984" w:type="dxa"/>
            <w:noWrap w:val="0"/>
            <w:vAlign w:val="center"/>
          </w:tcPr>
          <w:p w14:paraId="2BA18934">
            <w:pPr>
              <w:pStyle w:val="5"/>
              <w:spacing w:before="45" w:line="209" w:lineRule="auto"/>
              <w:jc w:val="center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职称</w:t>
            </w:r>
          </w:p>
        </w:tc>
        <w:tc>
          <w:tcPr>
            <w:tcW w:w="2803" w:type="dxa"/>
            <w:noWrap w:val="0"/>
            <w:vAlign w:val="center"/>
          </w:tcPr>
          <w:p w14:paraId="708FB5FD">
            <w:pPr>
              <w:pStyle w:val="5"/>
              <w:spacing w:before="45" w:line="209" w:lineRule="auto"/>
              <w:jc w:val="center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职务</w:t>
            </w:r>
          </w:p>
        </w:tc>
        <w:tc>
          <w:tcPr>
            <w:tcW w:w="2434" w:type="dxa"/>
            <w:noWrap w:val="0"/>
            <w:vAlign w:val="center"/>
          </w:tcPr>
          <w:p w14:paraId="20D5E183">
            <w:pPr>
              <w:pStyle w:val="5"/>
              <w:spacing w:before="45" w:line="209" w:lineRule="auto"/>
              <w:jc w:val="center"/>
              <w:rPr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单位</w:t>
            </w:r>
          </w:p>
        </w:tc>
      </w:tr>
      <w:tr w14:paraId="5BC72D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777" w:type="dxa"/>
            <w:noWrap w:val="0"/>
            <w:vAlign w:val="center"/>
          </w:tcPr>
          <w:p w14:paraId="2D346582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曲宁</w:t>
            </w:r>
          </w:p>
        </w:tc>
        <w:tc>
          <w:tcPr>
            <w:tcW w:w="1984" w:type="dxa"/>
            <w:noWrap w:val="0"/>
            <w:vAlign w:val="center"/>
          </w:tcPr>
          <w:p w14:paraId="6341C6C2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副教授</w:t>
            </w:r>
          </w:p>
        </w:tc>
        <w:tc>
          <w:tcPr>
            <w:tcW w:w="2803" w:type="dxa"/>
            <w:noWrap w:val="0"/>
            <w:vAlign w:val="center"/>
          </w:tcPr>
          <w:p w14:paraId="0B78680B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音乐治疗教研室主任</w:t>
            </w:r>
          </w:p>
        </w:tc>
        <w:tc>
          <w:tcPr>
            <w:tcW w:w="2434" w:type="dxa"/>
            <w:noWrap w:val="0"/>
            <w:vAlign w:val="center"/>
          </w:tcPr>
          <w:p w14:paraId="40D6F9E6">
            <w:pPr>
              <w:pStyle w:val="5"/>
              <w:spacing w:before="45" w:line="209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江西中医药大学人文</w:t>
            </w:r>
          </w:p>
          <w:p w14:paraId="7B5232B4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主义学院</w:t>
            </w:r>
          </w:p>
        </w:tc>
      </w:tr>
      <w:tr w14:paraId="22210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777" w:type="dxa"/>
            <w:noWrap w:val="0"/>
            <w:vAlign w:val="center"/>
          </w:tcPr>
          <w:p w14:paraId="62B28525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徐凤萍</w:t>
            </w:r>
          </w:p>
        </w:tc>
        <w:tc>
          <w:tcPr>
            <w:tcW w:w="1984" w:type="dxa"/>
            <w:noWrap w:val="0"/>
            <w:vAlign w:val="center"/>
          </w:tcPr>
          <w:p w14:paraId="0CC4E5F8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副教授</w:t>
            </w:r>
          </w:p>
        </w:tc>
        <w:tc>
          <w:tcPr>
            <w:tcW w:w="2803" w:type="dxa"/>
            <w:noWrap w:val="0"/>
            <w:vAlign w:val="center"/>
          </w:tcPr>
          <w:p w14:paraId="434A5843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音乐疗愈教研室主任</w:t>
            </w:r>
          </w:p>
        </w:tc>
        <w:tc>
          <w:tcPr>
            <w:tcW w:w="2434" w:type="dxa"/>
            <w:noWrap w:val="0"/>
            <w:vAlign w:val="center"/>
          </w:tcPr>
          <w:p w14:paraId="5F72BA19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武汉音乐学院音乐教育学院</w:t>
            </w:r>
          </w:p>
        </w:tc>
      </w:tr>
      <w:tr w14:paraId="466C57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777" w:type="dxa"/>
            <w:noWrap w:val="0"/>
            <w:vAlign w:val="center"/>
          </w:tcPr>
          <w:p w14:paraId="2B23327A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杨红</w:t>
            </w:r>
          </w:p>
        </w:tc>
        <w:tc>
          <w:tcPr>
            <w:tcW w:w="1984" w:type="dxa"/>
            <w:noWrap w:val="0"/>
            <w:vAlign w:val="center"/>
          </w:tcPr>
          <w:p w14:paraId="6B41BFFE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教授</w:t>
            </w:r>
          </w:p>
        </w:tc>
        <w:tc>
          <w:tcPr>
            <w:tcW w:w="2803" w:type="dxa"/>
            <w:noWrap w:val="0"/>
            <w:vAlign w:val="center"/>
          </w:tcPr>
          <w:p w14:paraId="1E421A61">
            <w:pPr>
              <w:pStyle w:val="5"/>
              <w:spacing w:before="45" w:line="209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新疆农业大学党委宣传部</w:t>
            </w:r>
          </w:p>
          <w:p w14:paraId="283BC0BD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部长</w:t>
            </w:r>
          </w:p>
        </w:tc>
        <w:tc>
          <w:tcPr>
            <w:tcW w:w="2434" w:type="dxa"/>
            <w:noWrap w:val="0"/>
            <w:vAlign w:val="center"/>
          </w:tcPr>
          <w:p w14:paraId="541BDE5B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新疆农业大学</w:t>
            </w:r>
          </w:p>
        </w:tc>
      </w:tr>
      <w:tr w14:paraId="3E62A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777" w:type="dxa"/>
            <w:noWrap w:val="0"/>
            <w:vAlign w:val="center"/>
          </w:tcPr>
          <w:p w14:paraId="04BEA31C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黄华</w:t>
            </w:r>
          </w:p>
        </w:tc>
        <w:tc>
          <w:tcPr>
            <w:tcW w:w="1984" w:type="dxa"/>
            <w:noWrap w:val="0"/>
            <w:vAlign w:val="center"/>
          </w:tcPr>
          <w:p w14:paraId="3CB2D050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教授</w:t>
            </w:r>
          </w:p>
        </w:tc>
        <w:tc>
          <w:tcPr>
            <w:tcW w:w="2803" w:type="dxa"/>
            <w:noWrap w:val="0"/>
            <w:vAlign w:val="center"/>
          </w:tcPr>
          <w:p w14:paraId="0187C4DE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新疆农业大学数理学院院长</w:t>
            </w:r>
          </w:p>
        </w:tc>
        <w:tc>
          <w:tcPr>
            <w:tcW w:w="2434" w:type="dxa"/>
            <w:noWrap w:val="0"/>
            <w:vAlign w:val="center"/>
          </w:tcPr>
          <w:p w14:paraId="7AD798E1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新疆农业大学</w:t>
            </w:r>
          </w:p>
        </w:tc>
      </w:tr>
      <w:tr w14:paraId="043C7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777" w:type="dxa"/>
            <w:noWrap w:val="0"/>
            <w:vAlign w:val="center"/>
          </w:tcPr>
          <w:p w14:paraId="75D537F9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杨晓军</w:t>
            </w:r>
          </w:p>
        </w:tc>
        <w:tc>
          <w:tcPr>
            <w:tcW w:w="1984" w:type="dxa"/>
            <w:noWrap w:val="0"/>
            <w:vAlign w:val="center"/>
          </w:tcPr>
          <w:p w14:paraId="4FC2689A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教授</w:t>
            </w:r>
          </w:p>
        </w:tc>
        <w:tc>
          <w:tcPr>
            <w:tcW w:w="2803" w:type="dxa"/>
            <w:noWrap w:val="0"/>
            <w:vAlign w:val="center"/>
          </w:tcPr>
          <w:p w14:paraId="475D5E07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新疆农业大学食品科学与药学学院院长</w:t>
            </w:r>
          </w:p>
        </w:tc>
        <w:tc>
          <w:tcPr>
            <w:tcW w:w="2434" w:type="dxa"/>
            <w:noWrap w:val="0"/>
            <w:vAlign w:val="center"/>
          </w:tcPr>
          <w:p w14:paraId="3AFFBA35">
            <w:pPr>
              <w:pStyle w:val="5"/>
              <w:spacing w:before="45" w:line="209" w:lineRule="auto"/>
              <w:jc w:val="center"/>
              <w:rPr>
                <w:rFonts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新疆农业大学</w:t>
            </w:r>
          </w:p>
        </w:tc>
      </w:tr>
    </w:tbl>
    <w:p w14:paraId="4A1168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UI Gothic">
    <w:panose1 w:val="020B0600070205080204"/>
    <w:charset w:val="86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12DA4"/>
    <w:rsid w:val="0A112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2026-06-26T04:52:00Z</dcterms:created>
  <dc:creator>Lenovo</dc:creator>
  <cp:lastModifiedBy>Lenovo</cp:lastModifiedBy>
  <dcterms:modified xsi:type="dcterms:W3CDTF">2026-06-26T04:56:43Z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8BF996AD7BDB406588FDFFBB44090FEF_11</vt:lpwstr>
  </property>
  <property fmtid="{D5CDD505-2E9C-101B-9397-08002B2CF9AE}" pid="4" name="KSOTemplateDocerSaveRecord">
    <vt:lpwstr>eyJoZGlkIjoiNTcxM2YyN2I1NTEwYzdhNDUzOTA3ZDA1ZTU4ODJmZWQiLCJ1c2VySWQiOiIxNjc2NTgyMzAwIn0=</vt:lpwstr>
  </property>
</Properties>
</file>