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806A8">
      <w:pPr>
        <w:spacing w:before="72" w:line="222" w:lineRule="auto"/>
        <w:ind w:left="1590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9.校内专业设置评议专家组意见表</w:t>
      </w:r>
    </w:p>
    <w:p w14:paraId="5855C29B">
      <w:pPr>
        <w:spacing w:before="174"/>
      </w:pPr>
    </w:p>
    <w:tbl>
      <w:tblPr>
        <w:tblStyle w:val="4"/>
        <w:tblW w:w="85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2065"/>
        <w:gridCol w:w="227"/>
        <w:gridCol w:w="1596"/>
        <w:gridCol w:w="1478"/>
        <w:gridCol w:w="2372"/>
      </w:tblGrid>
      <w:tr w14:paraId="50E66D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59" w:hRule="atLeast"/>
        </w:trPr>
        <w:tc>
          <w:tcPr>
            <w:tcW w:w="6153" w:type="dxa"/>
            <w:gridSpan w:val="5"/>
            <w:vAlign w:val="top"/>
          </w:tcPr>
          <w:p w14:paraId="40CE2B96">
            <w:pPr>
              <w:spacing w:line="246" w:lineRule="auto"/>
              <w:rPr>
                <w:rFonts w:ascii="Arial"/>
                <w:sz w:val="21"/>
              </w:rPr>
            </w:pPr>
          </w:p>
          <w:p w14:paraId="7882385A">
            <w:pPr>
              <w:pStyle w:val="5"/>
              <w:spacing w:before="100" w:line="224" w:lineRule="auto"/>
              <w:ind w:left="1053"/>
              <w:rPr>
                <w:sz w:val="31"/>
                <w:szCs w:val="31"/>
              </w:rPr>
            </w:pPr>
            <w:r>
              <w:rPr>
                <w:spacing w:val="2"/>
                <w:sz w:val="31"/>
                <w:szCs w:val="31"/>
              </w:rPr>
              <w:t>总体判断拟开设专业是否可行</w:t>
            </w:r>
          </w:p>
        </w:tc>
        <w:tc>
          <w:tcPr>
            <w:tcW w:w="2372" w:type="dxa"/>
            <w:vAlign w:val="top"/>
          </w:tcPr>
          <w:p w14:paraId="41F7A65F">
            <w:pPr>
              <w:spacing w:line="461" w:lineRule="auto"/>
              <w:rPr>
                <w:rFonts w:ascii="Arial"/>
                <w:sz w:val="21"/>
              </w:rPr>
            </w:pPr>
          </w:p>
          <w:p w14:paraId="0308D437">
            <w:pPr>
              <w:pStyle w:val="5"/>
              <w:spacing w:before="71" w:line="228" w:lineRule="auto"/>
              <w:ind w:left="563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pacing w:val="-9"/>
                <w:sz w:val="22"/>
                <w:szCs w:val="22"/>
              </w:rPr>
              <w:t>☑</w:t>
            </w:r>
            <w:r>
              <w:rPr>
                <w:spacing w:val="-9"/>
                <w:sz w:val="22"/>
                <w:szCs w:val="22"/>
              </w:rPr>
              <w:t>是    □否</w:t>
            </w:r>
          </w:p>
        </w:tc>
      </w:tr>
      <w:tr w14:paraId="02AEF5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6" w:hRule="atLeast"/>
        </w:trPr>
        <w:tc>
          <w:tcPr>
            <w:tcW w:w="8525" w:type="dxa"/>
            <w:gridSpan w:val="6"/>
            <w:vAlign w:val="top"/>
          </w:tcPr>
          <w:p w14:paraId="63090B0D">
            <w:pPr>
              <w:pStyle w:val="5"/>
              <w:spacing w:before="8" w:line="221" w:lineRule="auto"/>
              <w:ind w:left="292" w:right="102" w:firstLine="444"/>
              <w:jc w:val="both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智慧牧业作为现代畜牧业转型升级的核心方向</w:t>
            </w:r>
            <w:r>
              <w:rPr>
                <w:spacing w:val="-2"/>
                <w:sz w:val="22"/>
                <w:szCs w:val="22"/>
              </w:rPr>
              <w:t>，在国家“十四五</w:t>
            </w:r>
            <w:r>
              <w:rPr>
                <w:spacing w:val="-8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”规划中被明确</w:t>
            </w:r>
            <w:r>
              <w:rPr>
                <w:sz w:val="22"/>
                <w:szCs w:val="22"/>
              </w:rPr>
              <w:t>列为数字经济发展的重点领域。农业农村部</w:t>
            </w:r>
            <w:r>
              <w:rPr>
                <w:spacing w:val="-1"/>
                <w:sz w:val="22"/>
                <w:szCs w:val="22"/>
              </w:rPr>
              <w:t>《关于加快畜牧业机械化智能化的意见》</w:t>
            </w:r>
            <w:r>
              <w:rPr>
                <w:spacing w:val="-3"/>
                <w:sz w:val="22"/>
                <w:szCs w:val="22"/>
              </w:rPr>
              <w:t>提出，到</w:t>
            </w:r>
            <w:r>
              <w:rPr>
                <w:spacing w:val="-30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2025</w:t>
            </w:r>
            <w:r>
              <w:rPr>
                <w:spacing w:val="-45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年畜禽养殖数字化率需达到</w:t>
            </w:r>
            <w:r>
              <w:rPr>
                <w:spacing w:val="-4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70%以上。当前，智慧牧业领域复合型人才</w:t>
            </w:r>
            <w:r>
              <w:rPr>
                <w:spacing w:val="1"/>
                <w:sz w:val="22"/>
                <w:szCs w:val="22"/>
              </w:rPr>
              <w:t>缺口超20</w:t>
            </w:r>
            <w:r>
              <w:rPr>
                <w:spacing w:val="-4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万，破解这一现实困境是支撑畜牧业高质量发展的迫切需求。</w:t>
            </w:r>
          </w:p>
          <w:p w14:paraId="45DCA93B">
            <w:pPr>
              <w:pStyle w:val="5"/>
              <w:spacing w:before="1" w:line="220" w:lineRule="auto"/>
              <w:ind w:left="292" w:right="102" w:firstLine="43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本校申报智慧牧业科学与工程专业，精准契</w:t>
            </w:r>
            <w:r>
              <w:rPr>
                <w:spacing w:val="-1"/>
                <w:sz w:val="22"/>
                <w:szCs w:val="22"/>
              </w:rPr>
              <w:t>合国家种业振兴与数字乡村战略，紧</w:t>
            </w:r>
            <w:r>
              <w:rPr>
                <w:spacing w:val="1"/>
                <w:sz w:val="22"/>
                <w:szCs w:val="22"/>
              </w:rPr>
              <w:t>密结合新疆畜牧业产值占农业总产值</w:t>
            </w:r>
            <w:r>
              <w:rPr>
                <w:spacing w:val="-50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45%以上的区域产业实际情况</w:t>
            </w:r>
            <w:r>
              <w:rPr>
                <w:sz w:val="22"/>
                <w:szCs w:val="22"/>
              </w:rPr>
              <w:t>。该专业面向规模化牧场智能装备运维、畜牧生产大数据分析、</w:t>
            </w:r>
            <w:r>
              <w:rPr>
                <w:spacing w:val="-1"/>
                <w:sz w:val="22"/>
                <w:szCs w:val="22"/>
              </w:rPr>
              <w:t>智慧养殖系统集成等岗位，致力于培养</w:t>
            </w:r>
            <w:r>
              <w:rPr>
                <w:sz w:val="22"/>
                <w:szCs w:val="22"/>
              </w:rPr>
              <w:t>兼具畜牧学基础与数字技术能力的应用型人才</w:t>
            </w:r>
            <w:r>
              <w:rPr>
                <w:spacing w:val="-1"/>
                <w:sz w:val="22"/>
                <w:szCs w:val="22"/>
              </w:rPr>
              <w:t>，可直接服务于疆内千万头（只）牲畜的智慧化养殖升级，填补区域产业人才供给的空白。</w:t>
            </w:r>
          </w:p>
          <w:p w14:paraId="5CCF24E0">
            <w:pPr>
              <w:pStyle w:val="5"/>
              <w:spacing w:before="3" w:line="220" w:lineRule="auto"/>
              <w:ind w:left="292" w:right="102" w:firstLine="43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本专业充分依托学校现有的办学优势：依托</w:t>
            </w:r>
            <w:r>
              <w:rPr>
                <w:spacing w:val="-1"/>
                <w:sz w:val="22"/>
                <w:szCs w:val="22"/>
              </w:rPr>
              <w:t>动物科学国家级一流专业建设点，共</w:t>
            </w:r>
            <w:r>
              <w:rPr>
                <w:spacing w:val="-2"/>
                <w:sz w:val="22"/>
                <w:szCs w:val="22"/>
              </w:rPr>
              <w:t>享已有的自治区级重点实验室以及</w:t>
            </w:r>
            <w:r>
              <w:rPr>
                <w:spacing w:val="-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27</w:t>
            </w:r>
            <w:r>
              <w:rPr>
                <w:spacing w:val="-4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个校外实践基地资源。学校已组建由</w:t>
            </w:r>
            <w:r>
              <w:rPr>
                <w:spacing w:val="-30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12</w:t>
            </w:r>
            <w:r>
              <w:rPr>
                <w:spacing w:val="-4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名畜牧</w:t>
            </w:r>
            <w:r>
              <w:rPr>
                <w:sz w:val="22"/>
                <w:szCs w:val="22"/>
              </w:rPr>
              <w:t>学教授、多名人工智能与大数据和机械工程领</w:t>
            </w:r>
            <w:r>
              <w:rPr>
                <w:spacing w:val="-1"/>
                <w:sz w:val="22"/>
                <w:szCs w:val="22"/>
              </w:rPr>
              <w:t>域教师构成的跨学科师资团队，配备智</w:t>
            </w:r>
            <w:r>
              <w:rPr>
                <w:sz w:val="22"/>
                <w:szCs w:val="22"/>
              </w:rPr>
              <w:t>能环控系统、畜牧生产仿真平台等专业教学设备。近年累计投入</w:t>
            </w:r>
            <w:r>
              <w:rPr>
                <w:spacing w:val="-41"/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585.92</w:t>
            </w:r>
            <w:r>
              <w:rPr>
                <w:spacing w:val="-46"/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>万元用于相关实验室升级，办学条件完全符合《普通高等</w:t>
            </w:r>
            <w:r>
              <w:rPr>
                <w:spacing w:val="-1"/>
                <w:sz w:val="22"/>
                <w:szCs w:val="22"/>
              </w:rPr>
              <w:t>学校本科专业教学质量国家标准》的要</w:t>
            </w:r>
            <w:r>
              <w:rPr>
                <w:spacing w:val="-5"/>
                <w:sz w:val="22"/>
                <w:szCs w:val="22"/>
              </w:rPr>
              <w:t>求。</w:t>
            </w:r>
          </w:p>
          <w:p w14:paraId="42FD86F0">
            <w:pPr>
              <w:pStyle w:val="5"/>
              <w:spacing w:before="12" w:line="220" w:lineRule="auto"/>
              <w:ind w:left="291" w:right="102" w:firstLine="453"/>
              <w:jc w:val="both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当前，随着我国畜牧业数字化、智能化转型步伐不断加快，全国范围内与智慧牧</w:t>
            </w:r>
            <w:r>
              <w:rPr>
                <w:sz w:val="22"/>
                <w:szCs w:val="22"/>
              </w:rPr>
              <w:t>业相关的各类岗位需求呈现迅猛增长态。这一增</w:t>
            </w:r>
            <w:r>
              <w:rPr>
                <w:spacing w:val="-1"/>
                <w:sz w:val="22"/>
                <w:szCs w:val="22"/>
              </w:rPr>
              <w:t>长不仅反映出行业对高素质技术人才</w:t>
            </w:r>
            <w:r>
              <w:rPr>
                <w:sz w:val="22"/>
                <w:szCs w:val="22"/>
              </w:rPr>
              <w:t>的迫切需求，也体现出智慧牧业作为现代农业发展</w:t>
            </w:r>
            <w:r>
              <w:rPr>
                <w:spacing w:val="-1"/>
                <w:sz w:val="22"/>
                <w:szCs w:val="22"/>
              </w:rPr>
              <w:t>新方向的重要地位。在新疆地区，</w:t>
            </w:r>
            <w:r>
              <w:rPr>
                <w:spacing w:val="5"/>
                <w:sz w:val="22"/>
                <w:szCs w:val="22"/>
              </w:rPr>
              <w:t>以</w:t>
            </w:r>
            <w:r>
              <w:rPr>
                <w:spacing w:val="5"/>
                <w:sz w:val="24"/>
                <w:szCs w:val="24"/>
              </w:rPr>
              <w:t>天康集团股份有限公司、新疆呼图壁种牛场有限公司</w:t>
            </w:r>
            <w:r>
              <w:rPr>
                <w:spacing w:val="5"/>
                <w:sz w:val="22"/>
                <w:szCs w:val="22"/>
              </w:rPr>
              <w:t>等为代表的行业龙头企</w:t>
            </w:r>
            <w:r>
              <w:rPr>
                <w:sz w:val="22"/>
                <w:szCs w:val="22"/>
              </w:rPr>
              <w:t>业，正积极布局智能养殖、数字牧场和精准饲喂等</w:t>
            </w:r>
            <w:r>
              <w:rPr>
                <w:spacing w:val="-1"/>
                <w:sz w:val="22"/>
                <w:szCs w:val="22"/>
              </w:rPr>
              <w:t>前沿领域，因此对具备智慧牧业相</w:t>
            </w:r>
            <w:r>
              <w:rPr>
                <w:sz w:val="22"/>
                <w:szCs w:val="22"/>
              </w:rPr>
              <w:t>关专业背景的高校毕业生表现出高度关注与热切期</w:t>
            </w:r>
            <w:r>
              <w:rPr>
                <w:spacing w:val="-1"/>
                <w:sz w:val="22"/>
                <w:szCs w:val="22"/>
              </w:rPr>
              <w:t>待。这些企业普遍认为，相关专业</w:t>
            </w:r>
            <w:r>
              <w:rPr>
                <w:sz w:val="22"/>
                <w:szCs w:val="22"/>
              </w:rPr>
              <w:t>毕业生不仅掌握扎实的理论基础，还具备将信息技</w:t>
            </w:r>
            <w:r>
              <w:rPr>
                <w:spacing w:val="-1"/>
                <w:sz w:val="22"/>
                <w:szCs w:val="22"/>
              </w:rPr>
              <w:t>术与畜牧生产深度融合的能力，能</w:t>
            </w:r>
            <w:r>
              <w:rPr>
                <w:sz w:val="22"/>
                <w:szCs w:val="22"/>
              </w:rPr>
              <w:t>够有效推动企业提质增效和可持续发展，因而对其</w:t>
            </w:r>
            <w:r>
              <w:rPr>
                <w:spacing w:val="-1"/>
                <w:sz w:val="22"/>
                <w:szCs w:val="22"/>
              </w:rPr>
              <w:t>毕业后的就业表现寄予厚望。毕业</w:t>
            </w:r>
            <w:r>
              <w:rPr>
                <w:sz w:val="22"/>
                <w:szCs w:val="22"/>
              </w:rPr>
              <w:t>生能够在养殖企业、智能装备厂商、畜牧监管部门</w:t>
            </w:r>
            <w:r>
              <w:rPr>
                <w:spacing w:val="-1"/>
                <w:sz w:val="22"/>
                <w:szCs w:val="22"/>
              </w:rPr>
              <w:t>等多个领域就业，就业前景清晰且</w:t>
            </w:r>
            <w:r>
              <w:rPr>
                <w:sz w:val="22"/>
                <w:szCs w:val="22"/>
              </w:rPr>
              <w:t>稳定。综上，该专业的设置契合国家战略导向，满</w:t>
            </w:r>
            <w:r>
              <w:rPr>
                <w:spacing w:val="-1"/>
                <w:sz w:val="22"/>
                <w:szCs w:val="22"/>
              </w:rPr>
              <w:t>足区域产业的迫切需求，软硬件条件成熟，具有切实可行性。</w:t>
            </w:r>
          </w:p>
        </w:tc>
      </w:tr>
      <w:tr w14:paraId="255B4A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6153" w:type="dxa"/>
            <w:gridSpan w:val="5"/>
            <w:vAlign w:val="top"/>
          </w:tcPr>
          <w:p w14:paraId="407877DB">
            <w:pPr>
              <w:pStyle w:val="5"/>
              <w:spacing w:before="300" w:line="227" w:lineRule="auto"/>
              <w:ind w:left="1185"/>
              <w:rPr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拟招生人数与人才需求预测是否匹配</w:t>
            </w:r>
          </w:p>
        </w:tc>
        <w:tc>
          <w:tcPr>
            <w:tcW w:w="2372" w:type="dxa"/>
            <w:vAlign w:val="top"/>
          </w:tcPr>
          <w:p w14:paraId="59FA9FD7">
            <w:pPr>
              <w:pStyle w:val="5"/>
              <w:spacing w:before="305" w:line="228" w:lineRule="auto"/>
              <w:ind w:left="563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pacing w:val="-9"/>
                <w:sz w:val="22"/>
                <w:szCs w:val="22"/>
              </w:rPr>
              <w:t>☑</w:t>
            </w:r>
            <w:r>
              <w:rPr>
                <w:spacing w:val="-9"/>
                <w:sz w:val="22"/>
                <w:szCs w:val="22"/>
              </w:rPr>
              <w:t>是    □否</w:t>
            </w:r>
          </w:p>
        </w:tc>
      </w:tr>
      <w:tr w14:paraId="25C572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079" w:type="dxa"/>
            <w:gridSpan w:val="3"/>
            <w:vMerge w:val="restart"/>
            <w:tcBorders>
              <w:bottom w:val="nil"/>
            </w:tcBorders>
            <w:vAlign w:val="top"/>
          </w:tcPr>
          <w:p w14:paraId="4BCF4909">
            <w:pPr>
              <w:spacing w:line="393" w:lineRule="auto"/>
              <w:rPr>
                <w:rFonts w:ascii="Arial"/>
                <w:sz w:val="21"/>
              </w:rPr>
            </w:pPr>
          </w:p>
          <w:p w14:paraId="605FE179">
            <w:pPr>
              <w:pStyle w:val="5"/>
              <w:spacing w:before="62" w:line="433" w:lineRule="auto"/>
              <w:ind w:left="339" w:right="395" w:hanging="228"/>
              <w:rPr>
                <w:sz w:val="19"/>
                <w:szCs w:val="19"/>
              </w:rPr>
            </w:pPr>
            <w:r>
              <w:rPr>
                <w:spacing w:val="23"/>
                <w:sz w:val="19"/>
                <w:szCs w:val="19"/>
              </w:rPr>
              <w:t>本专业开设的基本条件是否</w:t>
            </w:r>
            <w:r>
              <w:rPr>
                <w:spacing w:val="21"/>
                <w:sz w:val="19"/>
                <w:szCs w:val="19"/>
              </w:rPr>
              <w:t>符合教学质量国家标准</w:t>
            </w:r>
          </w:p>
        </w:tc>
        <w:tc>
          <w:tcPr>
            <w:tcW w:w="3074" w:type="dxa"/>
            <w:gridSpan w:val="2"/>
            <w:vAlign w:val="top"/>
          </w:tcPr>
          <w:p w14:paraId="6BE447A3">
            <w:pPr>
              <w:pStyle w:val="5"/>
              <w:spacing w:before="232" w:line="228" w:lineRule="auto"/>
              <w:ind w:left="10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教师队伍</w:t>
            </w:r>
          </w:p>
        </w:tc>
        <w:tc>
          <w:tcPr>
            <w:tcW w:w="2372" w:type="dxa"/>
            <w:vAlign w:val="top"/>
          </w:tcPr>
          <w:p w14:paraId="3078556E">
            <w:pPr>
              <w:pStyle w:val="5"/>
              <w:spacing w:before="172" w:line="228" w:lineRule="auto"/>
              <w:ind w:left="563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pacing w:val="-9"/>
                <w:sz w:val="22"/>
                <w:szCs w:val="22"/>
              </w:rPr>
              <w:t>☑</w:t>
            </w:r>
            <w:r>
              <w:rPr>
                <w:spacing w:val="-9"/>
                <w:sz w:val="22"/>
                <w:szCs w:val="22"/>
              </w:rPr>
              <w:t>是    □否</w:t>
            </w:r>
          </w:p>
        </w:tc>
      </w:tr>
      <w:tr w14:paraId="139531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07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2AE49090">
            <w:pPr>
              <w:rPr>
                <w:rFonts w:ascii="Arial"/>
                <w:sz w:val="21"/>
              </w:rPr>
            </w:pPr>
          </w:p>
        </w:tc>
        <w:tc>
          <w:tcPr>
            <w:tcW w:w="3074" w:type="dxa"/>
            <w:gridSpan w:val="2"/>
            <w:vAlign w:val="top"/>
          </w:tcPr>
          <w:p w14:paraId="65F78B0F">
            <w:pPr>
              <w:pStyle w:val="5"/>
              <w:spacing w:before="223" w:line="228" w:lineRule="auto"/>
              <w:ind w:left="109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实践条件</w:t>
            </w:r>
          </w:p>
        </w:tc>
        <w:tc>
          <w:tcPr>
            <w:tcW w:w="2372" w:type="dxa"/>
            <w:vAlign w:val="top"/>
          </w:tcPr>
          <w:p w14:paraId="2BA8DDE8">
            <w:pPr>
              <w:pStyle w:val="5"/>
              <w:spacing w:before="171" w:line="228" w:lineRule="auto"/>
              <w:ind w:left="563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pacing w:val="-9"/>
                <w:sz w:val="22"/>
                <w:szCs w:val="22"/>
              </w:rPr>
              <w:t>☑</w:t>
            </w:r>
            <w:r>
              <w:rPr>
                <w:spacing w:val="-9"/>
                <w:sz w:val="22"/>
                <w:szCs w:val="22"/>
              </w:rPr>
              <w:t>是    □否</w:t>
            </w:r>
          </w:p>
        </w:tc>
      </w:tr>
      <w:tr w14:paraId="3CF002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9" w:type="dxa"/>
            <w:gridSpan w:val="3"/>
            <w:vMerge w:val="continue"/>
            <w:tcBorders>
              <w:top w:val="nil"/>
            </w:tcBorders>
            <w:vAlign w:val="top"/>
          </w:tcPr>
          <w:p w14:paraId="6C727BA3">
            <w:pPr>
              <w:rPr>
                <w:rFonts w:ascii="Arial"/>
                <w:sz w:val="21"/>
              </w:rPr>
            </w:pPr>
          </w:p>
        </w:tc>
        <w:tc>
          <w:tcPr>
            <w:tcW w:w="3074" w:type="dxa"/>
            <w:gridSpan w:val="2"/>
            <w:vAlign w:val="top"/>
          </w:tcPr>
          <w:p w14:paraId="53D986FA">
            <w:pPr>
              <w:pStyle w:val="5"/>
              <w:spacing w:before="217" w:line="228" w:lineRule="auto"/>
              <w:ind w:left="10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经费保障</w:t>
            </w:r>
          </w:p>
        </w:tc>
        <w:tc>
          <w:tcPr>
            <w:tcW w:w="2372" w:type="dxa"/>
            <w:vAlign w:val="top"/>
          </w:tcPr>
          <w:p w14:paraId="4C623D4C">
            <w:pPr>
              <w:pStyle w:val="5"/>
              <w:spacing w:before="172" w:line="228" w:lineRule="auto"/>
              <w:ind w:left="563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pacing w:val="-9"/>
                <w:sz w:val="22"/>
                <w:szCs w:val="22"/>
              </w:rPr>
              <w:t>☑</w:t>
            </w:r>
            <w:r>
              <w:rPr>
                <w:spacing w:val="-9"/>
                <w:sz w:val="22"/>
                <w:szCs w:val="22"/>
              </w:rPr>
              <w:t>是    □否</w:t>
            </w:r>
          </w:p>
        </w:tc>
      </w:tr>
      <w:tr w14:paraId="4163D1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787" w:type="dxa"/>
            <w:vMerge w:val="restart"/>
            <w:tcBorders>
              <w:bottom w:val="nil"/>
              <w:right w:val="nil"/>
            </w:tcBorders>
            <w:vAlign w:val="top"/>
          </w:tcPr>
          <w:p w14:paraId="11DECC59">
            <w:pPr>
              <w:pStyle w:val="5"/>
              <w:spacing w:before="62" w:line="228" w:lineRule="auto"/>
              <w:jc w:val="right"/>
              <w:rPr>
                <w:sz w:val="22"/>
                <w:szCs w:val="22"/>
              </w:rPr>
            </w:pPr>
            <w:r>
              <w:rPr>
                <w:spacing w:val="-24"/>
                <w:sz w:val="22"/>
                <w:szCs w:val="22"/>
              </w:rPr>
              <w:t>签字：</w:t>
            </w:r>
          </w:p>
        </w:tc>
        <w:tc>
          <w:tcPr>
            <w:tcW w:w="2065" w:type="dxa"/>
            <w:tcBorders>
              <w:left w:val="nil"/>
              <w:bottom w:val="nil"/>
              <w:right w:val="nil"/>
            </w:tcBorders>
            <w:vAlign w:val="top"/>
          </w:tcPr>
          <w:p w14:paraId="2BFC5975">
            <w:pPr>
              <w:spacing w:before="2" w:line="775" w:lineRule="exact"/>
              <w:ind w:firstLine="159"/>
            </w:pPr>
            <w:r>
              <w:rPr>
                <w:position w:val="-15"/>
              </w:rPr>
              <w:drawing>
                <wp:inline distT="0" distB="0" distL="0" distR="0">
                  <wp:extent cx="1152525" cy="492125"/>
                  <wp:effectExtent l="0" t="0" r="9525" b="3175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032" cy="492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top"/>
          </w:tcPr>
          <w:p w14:paraId="3146C2D4">
            <w:pPr>
              <w:spacing w:before="2" w:line="780" w:lineRule="exact"/>
              <w:ind w:firstLine="88"/>
            </w:pPr>
            <w:r>
              <w:rPr>
                <w:position w:val="-15"/>
              </w:rPr>
              <w:drawing>
                <wp:inline distT="0" distB="0" distL="0" distR="0">
                  <wp:extent cx="1047115" cy="495300"/>
                  <wp:effectExtent l="0" t="0" r="635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49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top"/>
          </w:tcPr>
          <w:p w14:paraId="117589E0">
            <w:pPr>
              <w:spacing w:before="107" w:line="682" w:lineRule="exact"/>
              <w:ind w:firstLine="94"/>
            </w:pPr>
            <w:r>
              <w:rPr>
                <w:position w:val="-13"/>
              </w:rPr>
              <w:drawing>
                <wp:inline distT="0" distB="0" distL="0" distR="0">
                  <wp:extent cx="876300" cy="432435"/>
                  <wp:effectExtent l="0" t="0" r="0" b="5715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432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2" w:type="dxa"/>
            <w:tcBorders>
              <w:left w:val="nil"/>
              <w:bottom w:val="nil"/>
            </w:tcBorders>
            <w:vAlign w:val="top"/>
          </w:tcPr>
          <w:p w14:paraId="62FFE879">
            <w:pPr>
              <w:spacing w:before="30" w:line="730" w:lineRule="exact"/>
              <w:ind w:firstLine="207"/>
            </w:pPr>
            <w:r>
              <w:rPr>
                <w:position w:val="-14"/>
              </w:rPr>
              <w:drawing>
                <wp:inline distT="0" distB="0" distL="0" distR="0">
                  <wp:extent cx="962660" cy="462915"/>
                  <wp:effectExtent l="0" t="0" r="8890" b="13335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167" cy="463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C7E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787" w:type="dxa"/>
            <w:vMerge w:val="continue"/>
            <w:tcBorders>
              <w:top w:val="nil"/>
              <w:right w:val="nil"/>
            </w:tcBorders>
            <w:vAlign w:val="top"/>
          </w:tcPr>
          <w:p w14:paraId="4E0C4DCA">
            <w:pPr>
              <w:rPr>
                <w:rFonts w:ascii="Arial"/>
                <w:sz w:val="21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right w:val="nil"/>
            </w:tcBorders>
            <w:vAlign w:val="top"/>
          </w:tcPr>
          <w:p w14:paraId="61B020C5">
            <w:pPr>
              <w:spacing w:before="89" w:line="849" w:lineRule="exact"/>
              <w:ind w:firstLine="2021"/>
            </w:pPr>
            <w:r>
              <w:rPr>
                <w:position w:val="-16"/>
              </w:rPr>
              <w:drawing>
                <wp:inline distT="0" distB="0" distL="0" distR="0">
                  <wp:extent cx="997585" cy="539115"/>
                  <wp:effectExtent l="0" t="0" r="12065" b="13335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219" cy="539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0" w:type="dxa"/>
            <w:gridSpan w:val="2"/>
            <w:tcBorders>
              <w:top w:val="nil"/>
              <w:left w:val="nil"/>
            </w:tcBorders>
            <w:vAlign w:val="top"/>
          </w:tcPr>
          <w:p w14:paraId="2BE7625E">
            <w:pPr>
              <w:spacing w:before="21" w:line="660" w:lineRule="exact"/>
              <w:ind w:firstLine="86"/>
            </w:pPr>
            <w:r>
              <w:rPr>
                <w:position w:val="-13"/>
              </w:rPr>
              <w:drawing>
                <wp:inline distT="0" distB="0" distL="0" distR="0">
                  <wp:extent cx="1875790" cy="419100"/>
                  <wp:effectExtent l="0" t="0" r="1016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044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032C6">
      <w:pPr>
        <w:rPr>
          <w:rFonts w:ascii="Arial"/>
          <w:sz w:val="21"/>
        </w:rPr>
      </w:pPr>
    </w:p>
    <w:p w14:paraId="7C62CF4D">
      <w:pPr>
        <w:rPr>
          <w:rFonts w:ascii="Arial" w:hAnsi="Arial" w:eastAsia="Arial" w:cs="Arial"/>
          <w:sz w:val="21"/>
          <w:szCs w:val="21"/>
        </w:rPr>
        <w:sectPr>
          <w:pgSz w:w="11910" w:h="16840"/>
          <w:pgMar w:top="903" w:right="1687" w:bottom="0" w:left="1691" w:header="0" w:footer="0" w:gutter="0"/>
          <w:cols w:space="720" w:num="1"/>
        </w:sectPr>
      </w:pPr>
    </w:p>
    <w:p w14:paraId="11841FFF">
      <w:pPr>
        <w:spacing w:line="258" w:lineRule="auto"/>
        <w:rPr>
          <w:rFonts w:ascii="Arial"/>
          <w:sz w:val="21"/>
        </w:rPr>
      </w:pPr>
    </w:p>
    <w:p w14:paraId="73F37571">
      <w:pPr>
        <w:spacing w:line="258" w:lineRule="auto"/>
        <w:rPr>
          <w:rFonts w:ascii="Arial"/>
          <w:sz w:val="21"/>
        </w:rPr>
      </w:pPr>
    </w:p>
    <w:p w14:paraId="43CC1019">
      <w:pPr>
        <w:spacing w:line="258" w:lineRule="auto"/>
        <w:rPr>
          <w:rFonts w:ascii="Arial"/>
          <w:sz w:val="21"/>
        </w:rPr>
      </w:pPr>
    </w:p>
    <w:p w14:paraId="0911D8AB">
      <w:pPr>
        <w:spacing w:before="110" w:line="223" w:lineRule="auto"/>
        <w:ind w:left="2559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22"/>
          <w:sz w:val="34"/>
          <w:szCs w:val="34"/>
        </w:rPr>
        <w:t>专家评议会议专家信息表</w:t>
      </w:r>
    </w:p>
    <w:p w14:paraId="51F9D05F">
      <w:pPr>
        <w:spacing w:before="146"/>
      </w:pPr>
    </w:p>
    <w:tbl>
      <w:tblPr>
        <w:tblStyle w:val="4"/>
        <w:tblW w:w="8969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5"/>
        <w:gridCol w:w="1505"/>
        <w:gridCol w:w="1348"/>
        <w:gridCol w:w="3871"/>
      </w:tblGrid>
      <w:tr w14:paraId="743CAD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245" w:type="dxa"/>
            <w:vAlign w:val="top"/>
          </w:tcPr>
          <w:p w14:paraId="00F0922B">
            <w:pPr>
              <w:pStyle w:val="5"/>
              <w:spacing w:before="216" w:line="220" w:lineRule="auto"/>
              <w:ind w:left="867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姓名</w:t>
            </w:r>
          </w:p>
        </w:tc>
        <w:tc>
          <w:tcPr>
            <w:tcW w:w="1505" w:type="dxa"/>
            <w:vAlign w:val="top"/>
          </w:tcPr>
          <w:p w14:paraId="2A93F069">
            <w:pPr>
              <w:pStyle w:val="5"/>
              <w:spacing w:before="216" w:line="222" w:lineRule="auto"/>
              <w:ind w:left="498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职称</w:t>
            </w:r>
          </w:p>
        </w:tc>
        <w:tc>
          <w:tcPr>
            <w:tcW w:w="1348" w:type="dxa"/>
            <w:vAlign w:val="top"/>
          </w:tcPr>
          <w:p w14:paraId="504EB359">
            <w:pPr>
              <w:pStyle w:val="5"/>
              <w:spacing w:before="216" w:line="220" w:lineRule="auto"/>
              <w:ind w:left="421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职务</w:t>
            </w:r>
          </w:p>
        </w:tc>
        <w:tc>
          <w:tcPr>
            <w:tcW w:w="3871" w:type="dxa"/>
            <w:vAlign w:val="top"/>
          </w:tcPr>
          <w:p w14:paraId="5358C92F">
            <w:pPr>
              <w:pStyle w:val="5"/>
              <w:spacing w:before="215" w:line="221" w:lineRule="auto"/>
              <w:ind w:left="169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单位</w:t>
            </w:r>
          </w:p>
        </w:tc>
      </w:tr>
      <w:tr w14:paraId="7D663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2245" w:type="dxa"/>
            <w:vAlign w:val="top"/>
          </w:tcPr>
          <w:p w14:paraId="60B618FF">
            <w:pPr>
              <w:pStyle w:val="5"/>
              <w:spacing w:before="74" w:line="221" w:lineRule="auto"/>
              <w:ind w:left="783"/>
              <w:rPr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刘志强</w:t>
            </w:r>
          </w:p>
        </w:tc>
        <w:tc>
          <w:tcPr>
            <w:tcW w:w="1505" w:type="dxa"/>
            <w:vAlign w:val="top"/>
          </w:tcPr>
          <w:p w14:paraId="1EAB24EB">
            <w:pPr>
              <w:pStyle w:val="5"/>
              <w:spacing w:before="74" w:line="221" w:lineRule="auto"/>
              <w:ind w:left="189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高级畜牧师</w:t>
            </w:r>
          </w:p>
        </w:tc>
        <w:tc>
          <w:tcPr>
            <w:tcW w:w="1348" w:type="dxa"/>
            <w:vAlign w:val="top"/>
          </w:tcPr>
          <w:p w14:paraId="5C9A0798">
            <w:pPr>
              <w:pStyle w:val="5"/>
              <w:spacing w:before="74" w:line="221" w:lineRule="auto"/>
              <w:ind w:left="336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董事长</w:t>
            </w:r>
          </w:p>
        </w:tc>
        <w:tc>
          <w:tcPr>
            <w:tcW w:w="3871" w:type="dxa"/>
            <w:vAlign w:val="top"/>
          </w:tcPr>
          <w:p w14:paraId="47336E2E">
            <w:pPr>
              <w:pStyle w:val="5"/>
              <w:spacing w:before="74" w:line="221" w:lineRule="auto"/>
              <w:ind w:left="564"/>
              <w:rPr>
                <w:sz w:val="22"/>
                <w:szCs w:val="22"/>
              </w:rPr>
            </w:pPr>
            <w:r>
              <w:rPr>
                <w:spacing w:val="9"/>
                <w:sz w:val="22"/>
                <w:szCs w:val="22"/>
              </w:rPr>
              <w:t>新疆上品美羊科技有限公司</w:t>
            </w:r>
          </w:p>
        </w:tc>
      </w:tr>
      <w:tr w14:paraId="5B45E3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245" w:type="dxa"/>
            <w:vAlign w:val="top"/>
          </w:tcPr>
          <w:p w14:paraId="783064D6">
            <w:pPr>
              <w:pStyle w:val="5"/>
              <w:spacing w:before="79" w:line="219" w:lineRule="auto"/>
              <w:ind w:left="788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于青云</w:t>
            </w:r>
          </w:p>
        </w:tc>
        <w:tc>
          <w:tcPr>
            <w:tcW w:w="1505" w:type="dxa"/>
            <w:vAlign w:val="top"/>
          </w:tcPr>
          <w:p w14:paraId="043CDA11">
            <w:pPr>
              <w:pStyle w:val="5"/>
              <w:spacing w:before="79" w:line="219" w:lineRule="auto"/>
              <w:ind w:left="189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高级畜牧师</w:t>
            </w:r>
          </w:p>
        </w:tc>
        <w:tc>
          <w:tcPr>
            <w:tcW w:w="1348" w:type="dxa"/>
            <w:vAlign w:val="top"/>
          </w:tcPr>
          <w:p w14:paraId="34F2DFB8">
            <w:pPr>
              <w:pStyle w:val="5"/>
              <w:spacing w:before="79" w:line="219" w:lineRule="auto"/>
              <w:ind w:left="451"/>
              <w:rPr>
                <w:sz w:val="22"/>
                <w:szCs w:val="22"/>
              </w:rPr>
            </w:pPr>
            <w:r>
              <w:rPr>
                <w:spacing w:val="4"/>
                <w:sz w:val="22"/>
                <w:szCs w:val="22"/>
              </w:rPr>
              <w:t>经理</w:t>
            </w:r>
          </w:p>
        </w:tc>
        <w:tc>
          <w:tcPr>
            <w:tcW w:w="3871" w:type="dxa"/>
            <w:vAlign w:val="top"/>
          </w:tcPr>
          <w:p w14:paraId="24529123">
            <w:pPr>
              <w:pStyle w:val="5"/>
              <w:spacing w:before="79" w:line="219" w:lineRule="auto"/>
              <w:ind w:left="564"/>
              <w:rPr>
                <w:sz w:val="22"/>
                <w:szCs w:val="22"/>
              </w:rPr>
            </w:pPr>
            <w:r>
              <w:rPr>
                <w:spacing w:val="9"/>
                <w:sz w:val="22"/>
                <w:szCs w:val="22"/>
              </w:rPr>
              <w:t>新疆天康畜牧科技有限公司</w:t>
            </w:r>
          </w:p>
        </w:tc>
      </w:tr>
      <w:tr w14:paraId="4C707B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245" w:type="dxa"/>
            <w:vAlign w:val="top"/>
          </w:tcPr>
          <w:p w14:paraId="77540943">
            <w:pPr>
              <w:pStyle w:val="5"/>
              <w:spacing w:before="81" w:line="228" w:lineRule="auto"/>
              <w:ind w:left="784"/>
              <w:rPr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谭小海</w:t>
            </w:r>
          </w:p>
        </w:tc>
        <w:tc>
          <w:tcPr>
            <w:tcW w:w="1505" w:type="dxa"/>
            <w:vAlign w:val="top"/>
          </w:tcPr>
          <w:p w14:paraId="270DBF11">
            <w:pPr>
              <w:pStyle w:val="5"/>
              <w:spacing w:before="82" w:line="227" w:lineRule="auto"/>
              <w:ind w:left="413"/>
              <w:rPr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研究员</w:t>
            </w:r>
          </w:p>
        </w:tc>
        <w:tc>
          <w:tcPr>
            <w:tcW w:w="1348" w:type="dxa"/>
            <w:vAlign w:val="top"/>
          </w:tcPr>
          <w:p w14:paraId="54D3465A">
            <w:pPr>
              <w:pStyle w:val="5"/>
              <w:spacing w:before="81" w:line="231" w:lineRule="auto"/>
              <w:ind w:left="450"/>
              <w:rPr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站长</w:t>
            </w:r>
          </w:p>
        </w:tc>
        <w:tc>
          <w:tcPr>
            <w:tcW w:w="3871" w:type="dxa"/>
            <w:vAlign w:val="top"/>
          </w:tcPr>
          <w:p w14:paraId="5285C68F">
            <w:pPr>
              <w:pStyle w:val="5"/>
              <w:spacing w:before="81" w:line="228" w:lineRule="auto"/>
              <w:ind w:left="564"/>
              <w:rPr>
                <w:sz w:val="22"/>
                <w:szCs w:val="22"/>
              </w:rPr>
            </w:pPr>
            <w:r>
              <w:rPr>
                <w:spacing w:val="9"/>
                <w:sz w:val="22"/>
                <w:szCs w:val="22"/>
              </w:rPr>
              <w:t>新疆维吾尔自治区畜牧总站</w:t>
            </w:r>
          </w:p>
        </w:tc>
      </w:tr>
      <w:tr w14:paraId="67E9BF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245" w:type="dxa"/>
            <w:vAlign w:val="top"/>
          </w:tcPr>
          <w:p w14:paraId="2435B565">
            <w:pPr>
              <w:pStyle w:val="5"/>
              <w:spacing w:before="80" w:line="219" w:lineRule="auto"/>
              <w:ind w:left="785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姚新奎</w:t>
            </w:r>
          </w:p>
        </w:tc>
        <w:tc>
          <w:tcPr>
            <w:tcW w:w="1505" w:type="dxa"/>
            <w:vAlign w:val="top"/>
          </w:tcPr>
          <w:p w14:paraId="00C173F8">
            <w:pPr>
              <w:pStyle w:val="5"/>
              <w:spacing w:before="80" w:line="219" w:lineRule="auto"/>
              <w:ind w:left="531"/>
              <w:rPr>
                <w:sz w:val="22"/>
                <w:szCs w:val="22"/>
              </w:rPr>
            </w:pPr>
            <w:r>
              <w:rPr>
                <w:spacing w:val="4"/>
                <w:sz w:val="22"/>
                <w:szCs w:val="22"/>
              </w:rPr>
              <w:t>教授</w:t>
            </w:r>
          </w:p>
        </w:tc>
        <w:tc>
          <w:tcPr>
            <w:tcW w:w="1348" w:type="dxa"/>
            <w:vAlign w:val="top"/>
          </w:tcPr>
          <w:p w14:paraId="49CCDFD4">
            <w:pPr>
              <w:pStyle w:val="5"/>
              <w:spacing w:before="80" w:line="219" w:lineRule="auto"/>
              <w:ind w:left="6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3871" w:type="dxa"/>
            <w:vAlign w:val="top"/>
          </w:tcPr>
          <w:p w14:paraId="635C2239">
            <w:pPr>
              <w:pStyle w:val="5"/>
              <w:spacing w:before="80" w:line="219" w:lineRule="auto"/>
              <w:ind w:left="1252"/>
              <w:rPr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新疆农业大学</w:t>
            </w:r>
          </w:p>
        </w:tc>
      </w:tr>
      <w:tr w14:paraId="375FD8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245" w:type="dxa"/>
            <w:vAlign w:val="top"/>
          </w:tcPr>
          <w:p w14:paraId="6813C7DC">
            <w:pPr>
              <w:pStyle w:val="5"/>
              <w:spacing w:before="82" w:line="218" w:lineRule="auto"/>
              <w:ind w:left="784"/>
              <w:rPr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潘庆杰</w:t>
            </w:r>
          </w:p>
        </w:tc>
        <w:tc>
          <w:tcPr>
            <w:tcW w:w="1505" w:type="dxa"/>
            <w:vAlign w:val="top"/>
          </w:tcPr>
          <w:p w14:paraId="2B1B8BD3">
            <w:pPr>
              <w:pStyle w:val="5"/>
              <w:spacing w:before="82" w:line="218" w:lineRule="auto"/>
              <w:ind w:left="531"/>
              <w:rPr>
                <w:sz w:val="22"/>
                <w:szCs w:val="22"/>
              </w:rPr>
            </w:pPr>
            <w:r>
              <w:rPr>
                <w:spacing w:val="4"/>
                <w:sz w:val="22"/>
                <w:szCs w:val="22"/>
              </w:rPr>
              <w:t>教授</w:t>
            </w:r>
          </w:p>
        </w:tc>
        <w:tc>
          <w:tcPr>
            <w:tcW w:w="1348" w:type="dxa"/>
            <w:vAlign w:val="top"/>
          </w:tcPr>
          <w:p w14:paraId="4582B970">
            <w:pPr>
              <w:pStyle w:val="5"/>
              <w:spacing w:before="82" w:line="218" w:lineRule="auto"/>
              <w:ind w:left="6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3871" w:type="dxa"/>
            <w:vAlign w:val="top"/>
          </w:tcPr>
          <w:p w14:paraId="4E549E47">
            <w:pPr>
              <w:pStyle w:val="5"/>
              <w:spacing w:before="82" w:line="218" w:lineRule="auto"/>
              <w:ind w:left="1251"/>
              <w:rPr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青岛农业大学</w:t>
            </w:r>
          </w:p>
        </w:tc>
      </w:tr>
      <w:tr w14:paraId="7D4969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245" w:type="dxa"/>
            <w:vAlign w:val="top"/>
          </w:tcPr>
          <w:p w14:paraId="1943000F">
            <w:pPr>
              <w:pStyle w:val="5"/>
              <w:spacing w:before="82" w:line="218" w:lineRule="auto"/>
              <w:ind w:left="90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陈宏</w:t>
            </w:r>
          </w:p>
        </w:tc>
        <w:tc>
          <w:tcPr>
            <w:tcW w:w="1505" w:type="dxa"/>
            <w:vAlign w:val="top"/>
          </w:tcPr>
          <w:p w14:paraId="3DE452E9">
            <w:pPr>
              <w:pStyle w:val="5"/>
              <w:spacing w:before="82" w:line="218" w:lineRule="auto"/>
              <w:ind w:left="531"/>
              <w:rPr>
                <w:sz w:val="22"/>
                <w:szCs w:val="22"/>
              </w:rPr>
            </w:pPr>
            <w:r>
              <w:rPr>
                <w:spacing w:val="4"/>
                <w:sz w:val="22"/>
                <w:szCs w:val="22"/>
              </w:rPr>
              <w:t>教授</w:t>
            </w:r>
          </w:p>
        </w:tc>
        <w:tc>
          <w:tcPr>
            <w:tcW w:w="1348" w:type="dxa"/>
            <w:vAlign w:val="top"/>
          </w:tcPr>
          <w:p w14:paraId="47247F26">
            <w:pPr>
              <w:pStyle w:val="5"/>
              <w:spacing w:before="82" w:line="218" w:lineRule="auto"/>
              <w:ind w:left="6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3871" w:type="dxa"/>
            <w:vAlign w:val="top"/>
          </w:tcPr>
          <w:p w14:paraId="72638D13">
            <w:pPr>
              <w:pStyle w:val="5"/>
              <w:spacing w:before="82" w:line="218" w:lineRule="auto"/>
              <w:ind w:left="1027"/>
              <w:rPr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西北农林科技大学</w:t>
            </w:r>
          </w:p>
        </w:tc>
      </w:tr>
      <w:tr w14:paraId="00765A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245" w:type="dxa"/>
            <w:vAlign w:val="top"/>
          </w:tcPr>
          <w:p w14:paraId="2BE74C4A">
            <w:pPr>
              <w:pStyle w:val="5"/>
              <w:spacing w:before="85" w:line="218" w:lineRule="auto"/>
              <w:ind w:left="783"/>
              <w:rPr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任大喜</w:t>
            </w:r>
          </w:p>
        </w:tc>
        <w:tc>
          <w:tcPr>
            <w:tcW w:w="1505" w:type="dxa"/>
            <w:vAlign w:val="top"/>
          </w:tcPr>
          <w:p w14:paraId="6C30EA57">
            <w:pPr>
              <w:pStyle w:val="5"/>
              <w:spacing w:before="85" w:line="218" w:lineRule="auto"/>
              <w:ind w:left="418"/>
              <w:rPr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副教授</w:t>
            </w:r>
          </w:p>
        </w:tc>
        <w:tc>
          <w:tcPr>
            <w:tcW w:w="1348" w:type="dxa"/>
            <w:vAlign w:val="top"/>
          </w:tcPr>
          <w:p w14:paraId="4196D182">
            <w:pPr>
              <w:pStyle w:val="5"/>
              <w:spacing w:before="85" w:line="218" w:lineRule="auto"/>
              <w:ind w:left="6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3871" w:type="dxa"/>
            <w:vAlign w:val="top"/>
          </w:tcPr>
          <w:p w14:paraId="549927CA">
            <w:pPr>
              <w:pStyle w:val="5"/>
              <w:spacing w:before="85" w:line="218" w:lineRule="auto"/>
              <w:ind w:left="1483"/>
              <w:rPr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浙江大学</w:t>
            </w:r>
          </w:p>
        </w:tc>
      </w:tr>
    </w:tbl>
    <w:p w14:paraId="26063916">
      <w:pPr>
        <w:rPr>
          <w:rFonts w:ascii="Arial"/>
          <w:sz w:val="21"/>
        </w:rPr>
      </w:pPr>
    </w:p>
    <w:p w14:paraId="44A85A19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131" w:bottom="0" w:left="1785" w:header="0" w:footer="0" w:gutter="0"/>
          <w:cols w:space="720" w:num="1"/>
        </w:sectPr>
      </w:pPr>
    </w:p>
    <w:p w14:paraId="3F0FF9E5">
      <w:pPr>
        <w:spacing w:before="263" w:line="238" w:lineRule="auto"/>
        <w:ind w:left="1812"/>
        <w:outlineLvl w:val="0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6"/>
          <w:sz w:val="35"/>
          <w:szCs w:val="35"/>
        </w:rPr>
        <w:t>10.申请增设专业的理由和基础</w:t>
      </w:r>
    </w:p>
    <w:p w14:paraId="420E527F">
      <w:pPr>
        <w:spacing w:before="316" w:line="218" w:lineRule="auto"/>
        <w:ind w:left="96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新疆农业大学新设</w:t>
      </w:r>
      <w:bookmarkStart w:id="0" w:name="_GoBack"/>
      <w:r>
        <w:rPr>
          <w:rFonts w:ascii="黑体" w:hAnsi="黑体" w:eastAsia="黑体" w:cs="黑体"/>
          <w:spacing w:val="-1"/>
          <w:sz w:val="28"/>
          <w:szCs w:val="28"/>
        </w:rPr>
        <w:t>智慧牧业科学与工程</w:t>
      </w:r>
      <w:bookmarkEnd w:id="0"/>
      <w:r>
        <w:rPr>
          <w:rFonts w:ascii="黑体" w:hAnsi="黑体" w:eastAsia="黑体" w:cs="黑体"/>
          <w:spacing w:val="-1"/>
          <w:sz w:val="28"/>
          <w:szCs w:val="28"/>
        </w:rPr>
        <w:t>专业论证报告</w:t>
      </w:r>
    </w:p>
    <w:p w14:paraId="07084EC2">
      <w:pPr>
        <w:spacing w:line="360" w:lineRule="auto"/>
        <w:rPr>
          <w:rFonts w:ascii="Arial"/>
          <w:sz w:val="21"/>
        </w:rPr>
      </w:pPr>
    </w:p>
    <w:p w14:paraId="45CCFCCE">
      <w:pPr>
        <w:spacing w:before="91" w:line="411" w:lineRule="auto"/>
        <w:ind w:left="31" w:right="64" w:firstLine="56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智慧牧业是现代农业转型升级的核心方向，是国家数字经济发展战略在畜牧业领域的重要布局。当前，我国畜牧业正加速从传统粗放模式向数字化、智能化、精准化方向转型，对既懂畜牧科学又精通信息技术的复合型人才需求极为迫切。为贯彻落实国家数字乡村战略和</w:t>
      </w:r>
      <w:r>
        <w:rPr>
          <w:rFonts w:ascii="仿宋" w:hAnsi="仿宋" w:eastAsia="仿宋" w:cs="仿宋"/>
          <w:spacing w:val="-5"/>
          <w:sz w:val="28"/>
          <w:szCs w:val="28"/>
        </w:rPr>
        <w:t>农业农村现代化部署，充分发挥新疆作为“一带一路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”核心区和国家</w:t>
      </w:r>
      <w:r>
        <w:rPr>
          <w:rFonts w:ascii="仿宋" w:hAnsi="仿宋" w:eastAsia="仿宋" w:cs="仿宋"/>
          <w:spacing w:val="-4"/>
          <w:sz w:val="28"/>
          <w:szCs w:val="28"/>
        </w:rPr>
        <w:t>重要畜牧业生产基地的区位与资源禀赋优势，服务地方经济社会高质</w:t>
      </w:r>
      <w:r>
        <w:rPr>
          <w:rFonts w:ascii="仿宋" w:hAnsi="仿宋" w:eastAsia="仿宋" w:cs="仿宋"/>
          <w:spacing w:val="-5"/>
          <w:sz w:val="28"/>
          <w:szCs w:val="28"/>
        </w:rPr>
        <w:t>量发展，推进学校优势学科建设和“新农科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”教育改革，动物科学学院经前期调研和充分论证，决定申请增设“智慧牧业科学与工程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”专</w:t>
      </w:r>
      <w:r>
        <w:rPr>
          <w:rFonts w:ascii="仿宋" w:hAnsi="仿宋" w:eastAsia="仿宋" w:cs="仿宋"/>
          <w:spacing w:val="-2"/>
          <w:sz w:val="28"/>
          <w:szCs w:val="28"/>
        </w:rPr>
        <w:t>业。现就新设专业的必要性和可行性进行系统论证，具体报告如下。</w:t>
      </w:r>
    </w:p>
    <w:p w14:paraId="6B91CCE2">
      <w:pPr>
        <w:spacing w:before="155" w:line="222" w:lineRule="auto"/>
        <w:ind w:left="37"/>
        <w:outlineLvl w:val="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4"/>
          <w:sz w:val="28"/>
          <w:szCs w:val="28"/>
        </w:rPr>
        <w:t>一、专业的社会背景和行业背景</w:t>
      </w:r>
    </w:p>
    <w:p w14:paraId="119100A6">
      <w:pPr>
        <w:spacing w:line="351" w:lineRule="auto"/>
        <w:rPr>
          <w:rFonts w:ascii="Arial"/>
          <w:sz w:val="21"/>
        </w:rPr>
      </w:pPr>
    </w:p>
    <w:p w14:paraId="11E1D630">
      <w:pPr>
        <w:spacing w:before="92" w:line="222" w:lineRule="auto"/>
        <w:ind w:left="60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1.智慧牧业是农业现代化的战略制高点</w:t>
      </w:r>
    </w:p>
    <w:p w14:paraId="3914CF87">
      <w:pPr>
        <w:spacing w:line="352" w:lineRule="auto"/>
        <w:rPr>
          <w:rFonts w:ascii="Arial"/>
          <w:sz w:val="21"/>
        </w:rPr>
      </w:pPr>
    </w:p>
    <w:p w14:paraId="023E43EB">
      <w:pPr>
        <w:spacing w:before="91" w:line="411" w:lineRule="auto"/>
        <w:ind w:left="31" w:firstLine="56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智慧农业是发展现代农业的重要着力点，是建设农业强国的战略</w:t>
      </w:r>
      <w:r>
        <w:rPr>
          <w:rFonts w:ascii="仿宋" w:hAnsi="仿宋" w:eastAsia="仿宋" w:cs="仿宋"/>
          <w:spacing w:val="-9"/>
          <w:sz w:val="28"/>
          <w:szCs w:val="28"/>
        </w:rPr>
        <w:t>制高点。农业农村部《关于大力发展智慧农业的指导意见》明确提出，</w:t>
      </w:r>
      <w:r>
        <w:rPr>
          <w:rFonts w:ascii="仿宋" w:hAnsi="仿宋" w:eastAsia="仿宋" w:cs="仿宋"/>
          <w:spacing w:val="-4"/>
          <w:sz w:val="28"/>
          <w:szCs w:val="28"/>
        </w:rPr>
        <w:t>要“推进畜牧养殖智慧化，引导发展规模养殖智能化，按需集成环境精准调控、生长信息监测、疫病智能诊断防控等技术，推广精准饲喂</w:t>
      </w:r>
      <w:r>
        <w:rPr>
          <w:rFonts w:ascii="仿宋" w:hAnsi="仿宋" w:eastAsia="仿宋" w:cs="仿宋"/>
          <w:spacing w:val="-5"/>
          <w:sz w:val="28"/>
          <w:szCs w:val="28"/>
        </w:rPr>
        <w:t>等智能装备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”。国务院办公厅印发的《关于加快场景培育和开放推动</w:t>
      </w:r>
      <w:r>
        <w:rPr>
          <w:rFonts w:ascii="仿宋" w:hAnsi="仿宋" w:eastAsia="仿宋" w:cs="仿宋"/>
          <w:spacing w:val="-9"/>
          <w:sz w:val="28"/>
          <w:szCs w:val="28"/>
        </w:rPr>
        <w:t>新场景大规模应用的实施意见》进一步提出，要推出智慧农（牧、渔）</w:t>
      </w:r>
      <w:r>
        <w:rPr>
          <w:rFonts w:ascii="仿宋" w:hAnsi="仿宋" w:eastAsia="仿宋" w:cs="仿宋"/>
          <w:spacing w:val="-4"/>
          <w:sz w:val="28"/>
          <w:szCs w:val="28"/>
        </w:rPr>
        <w:t>场等一批智慧农业应用场景，围绕饲料、养殖、流通、供应链金融等</w:t>
      </w:r>
      <w:r>
        <w:rPr>
          <w:rFonts w:ascii="仿宋" w:hAnsi="仿宋" w:eastAsia="仿宋" w:cs="仿宋"/>
          <w:spacing w:val="-1"/>
          <w:sz w:val="28"/>
          <w:szCs w:val="28"/>
        </w:rPr>
        <w:t>领域推动畜牧业数字化转型赋能。2022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年中</w:t>
      </w:r>
      <w:r>
        <w:rPr>
          <w:rFonts w:ascii="仿宋" w:hAnsi="仿宋" w:eastAsia="仿宋" w:cs="仿宋"/>
          <w:spacing w:val="-2"/>
          <w:sz w:val="28"/>
          <w:szCs w:val="28"/>
        </w:rPr>
        <w:t>央一号文件也将推进农</w:t>
      </w:r>
    </w:p>
    <w:p w14:paraId="0609A1A7">
      <w:pPr>
        <w:spacing w:line="411" w:lineRule="auto"/>
        <w:rPr>
          <w:rFonts w:ascii="仿宋" w:hAnsi="仿宋" w:eastAsia="仿宋" w:cs="仿宋"/>
          <w:sz w:val="28"/>
          <w:szCs w:val="28"/>
        </w:rPr>
        <w:sectPr>
          <w:pgSz w:w="11906" w:h="16839"/>
          <w:pgMar w:top="1431" w:right="1679" w:bottom="0" w:left="1785" w:header="0" w:footer="0" w:gutter="0"/>
          <w:cols w:space="720" w:num="1"/>
        </w:sectPr>
      </w:pPr>
    </w:p>
    <w:p w14:paraId="195E1837">
      <w:pPr>
        <w:spacing w:before="178" w:line="412" w:lineRule="auto"/>
        <w:ind w:left="31" w:right="38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业现代化、发展智慧农业作为重要任务。智慧牧业科学与工程专业正</w:t>
      </w:r>
      <w:r>
        <w:rPr>
          <w:rFonts w:ascii="仿宋" w:hAnsi="仿宋" w:eastAsia="仿宋" w:cs="仿宋"/>
          <w:spacing w:val="1"/>
          <w:sz w:val="28"/>
          <w:szCs w:val="28"/>
        </w:rPr>
        <w:t>是教育部为适应畜牧业智能化转型需求于2021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年批准设立</w:t>
      </w:r>
      <w:r>
        <w:rPr>
          <w:rFonts w:ascii="仿宋" w:hAnsi="仿宋" w:eastAsia="仿宋" w:cs="仿宋"/>
          <w:sz w:val="28"/>
          <w:szCs w:val="28"/>
        </w:rPr>
        <w:t>的新农科</w:t>
      </w:r>
      <w:r>
        <w:rPr>
          <w:rFonts w:ascii="仿宋" w:hAnsi="仿宋" w:eastAsia="仿宋" w:cs="仿宋"/>
          <w:spacing w:val="-1"/>
          <w:sz w:val="28"/>
          <w:szCs w:val="28"/>
        </w:rPr>
        <w:t>特设专业。该专业聚焦畜牧业智能化转型需求，构建“畜牧科学+信</w:t>
      </w:r>
      <w:r>
        <w:rPr>
          <w:rFonts w:ascii="仿宋" w:hAnsi="仿宋" w:eastAsia="仿宋" w:cs="仿宋"/>
          <w:spacing w:val="-2"/>
          <w:sz w:val="28"/>
          <w:szCs w:val="28"/>
        </w:rPr>
        <w:t>息技术+工程管理</w:t>
      </w:r>
      <w:r>
        <w:rPr>
          <w:rFonts w:ascii="仿宋" w:hAnsi="仿宋" w:eastAsia="仿宋" w:cs="仿宋"/>
          <w:spacing w:val="-9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”三位一体的课程体系，培养能够运用物联网、大数据、人工智能等前沿技术解决现代畜牧业生产问题的复合型人才。</w:t>
      </w:r>
    </w:p>
    <w:p w14:paraId="1DF5EB10">
      <w:pPr>
        <w:spacing w:before="154" w:line="220" w:lineRule="auto"/>
        <w:ind w:left="58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2.新疆畜牧业在国民经济中占据重要地位</w:t>
      </w:r>
    </w:p>
    <w:p w14:paraId="35F51AE0">
      <w:pPr>
        <w:spacing w:line="347" w:lineRule="auto"/>
        <w:rPr>
          <w:rFonts w:ascii="Arial"/>
          <w:sz w:val="21"/>
        </w:rPr>
      </w:pPr>
    </w:p>
    <w:p w14:paraId="5C61C627">
      <w:pPr>
        <w:spacing w:before="91" w:line="412" w:lineRule="auto"/>
        <w:ind w:left="31" w:firstLine="55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新疆是我国五大牧区之一，畜牧业在全区经济中占据举足轻重的地位。2025</w:t>
      </w:r>
      <w:r>
        <w:rPr>
          <w:rFonts w:ascii="仿宋" w:hAnsi="仿宋" w:eastAsia="仿宋" w:cs="仿宋"/>
          <w:spacing w:val="-3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年，全区畜牧业产值突破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1122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亿元，主要畜禽肉产量突</w:t>
      </w:r>
      <w:r>
        <w:rPr>
          <w:rFonts w:ascii="仿宋" w:hAnsi="仿宋" w:eastAsia="仿宋" w:cs="仿宋"/>
          <w:spacing w:val="-6"/>
          <w:sz w:val="28"/>
          <w:szCs w:val="28"/>
        </w:rPr>
        <w:t>破</w:t>
      </w:r>
      <w:r>
        <w:rPr>
          <w:rFonts w:ascii="仿宋" w:hAnsi="仿宋" w:eastAsia="仿宋" w:cs="仿宋"/>
          <w:spacing w:val="-5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200</w:t>
      </w:r>
      <w:r>
        <w:rPr>
          <w:rFonts w:ascii="仿宋" w:hAnsi="仿宋" w:eastAsia="仿宋" w:cs="仿宋"/>
          <w:spacing w:val="-5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万吨，畜牧业已形成“养殖—加工—销售</w:t>
      </w:r>
      <w:r>
        <w:rPr>
          <w:rFonts w:ascii="仿宋" w:hAnsi="仿宋" w:eastAsia="仿宋" w:cs="仿宋"/>
          <w:spacing w:val="-10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”的完整闭环。自治</w:t>
      </w:r>
      <w:r>
        <w:rPr>
          <w:rFonts w:ascii="仿宋" w:hAnsi="仿宋" w:eastAsia="仿宋" w:cs="仿宋"/>
          <w:spacing w:val="-11"/>
          <w:sz w:val="28"/>
          <w:szCs w:val="28"/>
        </w:rPr>
        <w:t>区“十四五</w:t>
      </w:r>
      <w:r>
        <w:rPr>
          <w:rFonts w:ascii="仿宋" w:hAnsi="仿宋" w:eastAsia="仿宋" w:cs="仿宋"/>
          <w:spacing w:val="-9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</w:rPr>
        <w:t>”畜牧业发展规划明确提出加快推进畜牧大区向强区转变，</w:t>
      </w:r>
      <w:r>
        <w:rPr>
          <w:rFonts w:ascii="仿宋" w:hAnsi="仿宋" w:eastAsia="仿宋" w:cs="仿宋"/>
          <w:spacing w:val="-6"/>
          <w:sz w:val="28"/>
          <w:szCs w:val="28"/>
        </w:rPr>
        <w:t>到</w:t>
      </w:r>
      <w:r>
        <w:rPr>
          <w:rFonts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2025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年建立起适合区情、支撑有力的畜牧业产业体系、生产体</w:t>
      </w:r>
      <w:r>
        <w:rPr>
          <w:rFonts w:ascii="仿宋" w:hAnsi="仿宋" w:eastAsia="仿宋" w:cs="仿宋"/>
          <w:spacing w:val="-7"/>
          <w:sz w:val="28"/>
          <w:szCs w:val="28"/>
        </w:rPr>
        <w:t>系、</w:t>
      </w:r>
      <w:r>
        <w:rPr>
          <w:rFonts w:ascii="仿宋" w:hAnsi="仿宋" w:eastAsia="仿宋" w:cs="仿宋"/>
          <w:spacing w:val="-4"/>
          <w:sz w:val="28"/>
          <w:szCs w:val="28"/>
        </w:rPr>
        <w:t>经营体系，形成天山北坡奶业、南疆特禽、北疆绿色有机牛羊肉、马产业等四个产值百亿元以上的产业集群。《新疆草原畜牧业转型升级</w:t>
      </w:r>
      <w:r>
        <w:rPr>
          <w:rFonts w:ascii="仿宋" w:hAnsi="仿宋" w:eastAsia="仿宋" w:cs="仿宋"/>
          <w:spacing w:val="-1"/>
          <w:sz w:val="28"/>
          <w:szCs w:val="28"/>
        </w:rPr>
        <w:t>规划（2023—2030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年）》指出，要从规模化</w:t>
      </w:r>
      <w:r>
        <w:rPr>
          <w:rFonts w:ascii="仿宋" w:hAnsi="仿宋" w:eastAsia="仿宋" w:cs="仿宋"/>
          <w:spacing w:val="-2"/>
          <w:sz w:val="28"/>
          <w:szCs w:val="28"/>
        </w:rPr>
        <w:t>养殖场着手进行数字化</w:t>
      </w:r>
      <w:r>
        <w:rPr>
          <w:rFonts w:ascii="仿宋" w:hAnsi="仿宋" w:eastAsia="仿宋" w:cs="仿宋"/>
          <w:spacing w:val="-1"/>
          <w:sz w:val="28"/>
          <w:szCs w:val="28"/>
        </w:rPr>
        <w:t>改造、平台化管理、设备智能化升级。畜牧业高质量发展对智能化、</w:t>
      </w:r>
      <w:r>
        <w:rPr>
          <w:rFonts w:ascii="仿宋" w:hAnsi="仿宋" w:eastAsia="仿宋" w:cs="仿宋"/>
          <w:spacing w:val="-2"/>
          <w:sz w:val="28"/>
          <w:szCs w:val="28"/>
        </w:rPr>
        <w:t>数字化技术的需求日益迫切，对智慧牧业专业人才的渴求持续升温。</w:t>
      </w:r>
    </w:p>
    <w:p w14:paraId="157E058B">
      <w:pPr>
        <w:spacing w:before="153" w:line="219" w:lineRule="auto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3.我国畜牧业智能化转型亟需大批复合型人才</w:t>
      </w:r>
    </w:p>
    <w:p w14:paraId="24269672">
      <w:pPr>
        <w:spacing w:line="351" w:lineRule="auto"/>
        <w:rPr>
          <w:rFonts w:ascii="Arial"/>
          <w:sz w:val="21"/>
        </w:rPr>
      </w:pPr>
    </w:p>
    <w:p w14:paraId="298216A5">
      <w:pPr>
        <w:spacing w:before="91" w:line="412" w:lineRule="auto"/>
        <w:ind w:left="31" w:right="93" w:firstLine="56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智慧牧业是融合畜牧学、计算机科学、信息科学、环境科学与工程等多学科知识体系的新兴交叉学科。然而，当前我国畜牧业智能化水平仍然偏低，传统畜牧企业正在加速智能化升级，但既懂畜牧又懂信息技术的交叉人才严重断层。据教育部数据显示，畜牧业智能化人</w:t>
      </w:r>
    </w:p>
    <w:p w14:paraId="5F39F28C">
      <w:pPr>
        <w:spacing w:line="412" w:lineRule="auto"/>
        <w:rPr>
          <w:rFonts w:ascii="仿宋" w:hAnsi="仿宋" w:eastAsia="仿宋" w:cs="仿宋"/>
          <w:sz w:val="28"/>
          <w:szCs w:val="28"/>
        </w:rPr>
        <w:sectPr>
          <w:pgSz w:w="11906" w:h="16839"/>
          <w:pgMar w:top="1431" w:right="1705" w:bottom="0" w:left="1785" w:header="0" w:footer="0" w:gutter="0"/>
          <w:cols w:space="720" w:num="1"/>
        </w:sectPr>
      </w:pPr>
    </w:p>
    <w:p w14:paraId="3BD5A8FA">
      <w:pPr>
        <w:spacing w:before="176" w:line="412" w:lineRule="auto"/>
        <w:ind w:left="32" w:firstLine="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才缺口达20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万，而全国每年相关专业毕业生不足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1</w:t>
      </w:r>
      <w:r>
        <w:rPr>
          <w:rFonts w:ascii="仿宋" w:hAnsi="仿宋" w:eastAsia="仿宋" w:cs="仿宋"/>
          <w:spacing w:val="-4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万人，供需比例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约为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1:20。智慧牧业相关岗位缺口年均增长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15%以上。首批</w:t>
      </w:r>
      <w:r>
        <w:rPr>
          <w:rFonts w:ascii="仿宋" w:hAnsi="仿宋" w:eastAsia="仿宋" w:cs="仿宋"/>
          <w:spacing w:val="-6"/>
          <w:sz w:val="28"/>
          <w:szCs w:val="28"/>
        </w:rPr>
        <w:t>开设智慧</w:t>
      </w:r>
      <w:r>
        <w:rPr>
          <w:rFonts w:ascii="仿宋" w:hAnsi="仿宋" w:eastAsia="仿宋" w:cs="仿宋"/>
          <w:spacing w:val="-5"/>
          <w:sz w:val="28"/>
          <w:szCs w:val="28"/>
        </w:rPr>
        <w:t>牧业科学与工程专业的高校包括西北农林科技大学、河南农业大学等。</w:t>
      </w:r>
      <w:r>
        <w:rPr>
          <w:rFonts w:ascii="仿宋" w:hAnsi="仿宋" w:eastAsia="仿宋" w:cs="仿宋"/>
          <w:spacing w:val="-2"/>
          <w:sz w:val="28"/>
          <w:szCs w:val="28"/>
        </w:rPr>
        <w:t>截至目前，全国已有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15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所高校开设本专业。西北农林科</w:t>
      </w:r>
      <w:r>
        <w:rPr>
          <w:rFonts w:ascii="仿宋" w:hAnsi="仿宋" w:eastAsia="仿宋" w:cs="仿宋"/>
          <w:spacing w:val="-3"/>
          <w:sz w:val="28"/>
          <w:szCs w:val="28"/>
        </w:rPr>
        <w:t>技大学首届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智牧专业</w:t>
      </w:r>
      <w:r>
        <w:rPr>
          <w:rFonts w:ascii="仿宋" w:hAnsi="仿宋" w:eastAsia="仿宋" w:cs="仿宋"/>
          <w:spacing w:val="-6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59</w:t>
      </w:r>
      <w:r>
        <w:rPr>
          <w:rFonts w:ascii="仿宋" w:hAnsi="仿宋" w:eastAsia="仿宋" w:cs="仿宋"/>
          <w:spacing w:val="-7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名毕业生交出了77.9%的升学率和</w:t>
      </w:r>
      <w:r>
        <w:rPr>
          <w:rFonts w:ascii="仿宋" w:hAnsi="仿宋" w:eastAsia="仿宋" w:cs="仿宋"/>
          <w:spacing w:val="-8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91%的高质量就业率的</w:t>
      </w:r>
      <w:r>
        <w:rPr>
          <w:rFonts w:ascii="仿宋" w:hAnsi="仿宋" w:eastAsia="仿宋" w:cs="仿宋"/>
          <w:spacing w:val="-4"/>
          <w:sz w:val="28"/>
          <w:szCs w:val="28"/>
        </w:rPr>
        <w:t>亮眼成绩单。这些数据充分说明智慧牧业领域人才供不应求，就业前</w:t>
      </w:r>
      <w:r>
        <w:rPr>
          <w:rFonts w:ascii="仿宋" w:hAnsi="仿宋" w:eastAsia="仿宋" w:cs="仿宋"/>
          <w:spacing w:val="-5"/>
          <w:sz w:val="28"/>
          <w:szCs w:val="28"/>
        </w:rPr>
        <w:t>景广阔。</w:t>
      </w:r>
    </w:p>
    <w:p w14:paraId="50B961E4">
      <w:pPr>
        <w:spacing w:before="154" w:line="222" w:lineRule="auto"/>
        <w:ind w:left="41"/>
        <w:outlineLvl w:val="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4"/>
          <w:sz w:val="28"/>
          <w:szCs w:val="28"/>
        </w:rPr>
        <w:t>二、社会对本专业人才需求的预测分析</w:t>
      </w:r>
    </w:p>
    <w:p w14:paraId="158D6897">
      <w:pPr>
        <w:spacing w:line="350" w:lineRule="auto"/>
        <w:rPr>
          <w:rFonts w:ascii="Arial"/>
          <w:sz w:val="21"/>
        </w:rPr>
      </w:pPr>
    </w:p>
    <w:p w14:paraId="4BDB22C6">
      <w:pPr>
        <w:spacing w:before="91" w:line="219" w:lineRule="auto"/>
        <w:ind w:left="60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1.新疆畜牧业智能化转型对智慧牧业人才的迫切需求</w:t>
      </w:r>
    </w:p>
    <w:p w14:paraId="0B56C309">
      <w:pPr>
        <w:spacing w:line="345" w:lineRule="auto"/>
        <w:rPr>
          <w:rFonts w:ascii="Arial"/>
          <w:sz w:val="21"/>
        </w:rPr>
      </w:pPr>
    </w:p>
    <w:p w14:paraId="55A1162B">
      <w:pPr>
        <w:spacing w:before="91" w:line="412" w:lineRule="auto"/>
        <w:ind w:left="32" w:right="149" w:firstLine="558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新疆作为我国重要的畜牧业生产基地，牲畜存栏量大、品种资源丰富，但畜牧业智能化水平仍然不高，基层畜牧专业技术人员短缺问</w:t>
      </w:r>
      <w:r>
        <w:rPr>
          <w:rFonts w:ascii="仿宋" w:hAnsi="仿宋" w:eastAsia="仿宋" w:cs="仿宋"/>
          <w:spacing w:val="-10"/>
          <w:sz w:val="28"/>
          <w:szCs w:val="28"/>
        </w:rPr>
        <w:t>题突出。《新疆草原畜牧业转型升级规划》明确提出推进数字化改造、</w:t>
      </w:r>
      <w:r>
        <w:rPr>
          <w:rFonts w:ascii="仿宋" w:hAnsi="仿宋" w:eastAsia="仿宋" w:cs="仿宋"/>
          <w:spacing w:val="-4"/>
          <w:sz w:val="28"/>
          <w:szCs w:val="28"/>
        </w:rPr>
        <w:t>平台化管理、设备智能化升级。2025</w:t>
      </w:r>
      <w:r>
        <w:rPr>
          <w:rFonts w:ascii="仿宋" w:hAnsi="仿宋" w:eastAsia="仿宋" w:cs="仿宋"/>
          <w:spacing w:val="-3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年，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自治区政协专门召开“人</w:t>
      </w:r>
      <w:r>
        <w:rPr>
          <w:rFonts w:ascii="仿宋" w:hAnsi="仿宋" w:eastAsia="仿宋" w:cs="仿宋"/>
          <w:spacing w:val="-3"/>
          <w:sz w:val="28"/>
          <w:szCs w:val="28"/>
        </w:rPr>
        <w:t>工智能+畜牧业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”专家协商会，明确提出通过“数字牧民</w:t>
      </w:r>
      <w:r>
        <w:rPr>
          <w:rFonts w:ascii="仿宋" w:hAnsi="仿宋" w:eastAsia="仿宋" w:cs="仿宋"/>
          <w:spacing w:val="-10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”培训计划</w:t>
      </w:r>
      <w:r>
        <w:rPr>
          <w:rFonts w:ascii="仿宋" w:hAnsi="仿宋" w:eastAsia="仿宋" w:cs="仿宋"/>
          <w:spacing w:val="-4"/>
          <w:sz w:val="28"/>
          <w:szCs w:val="28"/>
        </w:rPr>
        <w:t>培养复合型人才。在产业实践中，新疆天莱农牧集团等龙头企业已率先推动智慧牧场建设；昌吉州等地已建成多个智慧牧场，通过“草原</w:t>
      </w:r>
      <w:r>
        <w:rPr>
          <w:rFonts w:ascii="仿宋" w:hAnsi="仿宋" w:eastAsia="仿宋" w:cs="仿宋"/>
          <w:sz w:val="28"/>
          <w:szCs w:val="28"/>
        </w:rPr>
        <w:t>云牧</w:t>
      </w:r>
      <w:r>
        <w:rPr>
          <w:rFonts w:ascii="仿宋" w:hAnsi="仿宋" w:eastAsia="仿宋" w:cs="仿宋"/>
          <w:spacing w:val="-105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”大数据平台实现畜牧业可追溯体系建设；墨</w:t>
      </w:r>
      <w:r>
        <w:rPr>
          <w:rFonts w:ascii="仿宋" w:hAnsi="仿宋" w:eastAsia="仿宋" w:cs="仿宋"/>
          <w:spacing w:val="-1"/>
          <w:sz w:val="28"/>
          <w:szCs w:val="28"/>
        </w:rPr>
        <w:t>玉县2025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年成功</w:t>
      </w:r>
      <w:r>
        <w:rPr>
          <w:rFonts w:ascii="仿宋" w:hAnsi="仿宋" w:eastAsia="仿宋" w:cs="仿宋"/>
          <w:spacing w:val="-4"/>
          <w:sz w:val="28"/>
          <w:szCs w:val="28"/>
        </w:rPr>
        <w:t>引进国家级重点龙头企业新疆禾丰食品股份有限公司，推动肉鸡全产业链智能化发展。天康集团、泰昆集团等疆内龙头企业对智慧牧场管理、畜牧大数据分析、智能装备运维等岗位人才需求迫切。这些企业</w:t>
      </w:r>
      <w:r>
        <w:rPr>
          <w:rFonts w:ascii="仿宋" w:hAnsi="仿宋" w:eastAsia="仿宋" w:cs="仿宋"/>
          <w:spacing w:val="-1"/>
          <w:sz w:val="28"/>
          <w:szCs w:val="28"/>
        </w:rPr>
        <w:t>的快速发展迫切需要大量既懂畜牧又懂信息技术的复合型人才。</w:t>
      </w:r>
    </w:p>
    <w:p w14:paraId="007C05E3">
      <w:pPr>
        <w:spacing w:line="412" w:lineRule="auto"/>
        <w:rPr>
          <w:rFonts w:ascii="仿宋" w:hAnsi="仿宋" w:eastAsia="仿宋" w:cs="仿宋"/>
          <w:sz w:val="28"/>
          <w:szCs w:val="28"/>
        </w:rPr>
        <w:sectPr>
          <w:pgSz w:w="11906" w:h="16839"/>
          <w:pgMar w:top="1431" w:right="1556" w:bottom="0" w:left="1785" w:header="0" w:footer="0" w:gutter="0"/>
          <w:cols w:space="720" w:num="1"/>
        </w:sectPr>
      </w:pPr>
    </w:p>
    <w:p w14:paraId="23DBAFEE">
      <w:pPr>
        <w:spacing w:before="181" w:line="222" w:lineRule="auto"/>
        <w:ind w:left="58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2.智慧牧业人才需求呈现多维度、全链条特征</w:t>
      </w:r>
    </w:p>
    <w:p w14:paraId="11E12F00">
      <w:pPr>
        <w:spacing w:line="354" w:lineRule="auto"/>
        <w:rPr>
          <w:rFonts w:ascii="Arial"/>
          <w:sz w:val="21"/>
        </w:rPr>
      </w:pPr>
    </w:p>
    <w:p w14:paraId="01B0483E">
      <w:pPr>
        <w:spacing w:before="91" w:line="411" w:lineRule="auto"/>
        <w:ind w:left="31" w:firstLine="573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随着物联网、大数据、人工智能等技术在畜牧业全产业链的深度</w:t>
      </w:r>
      <w:r>
        <w:rPr>
          <w:rFonts w:ascii="仿宋" w:hAnsi="仿宋" w:eastAsia="仿宋" w:cs="仿宋"/>
          <w:spacing w:val="-10"/>
          <w:sz w:val="28"/>
          <w:szCs w:val="28"/>
        </w:rPr>
        <w:t>应用，智慧牧业人才需求已从单一的技术操作向系统规划、数据分析、</w:t>
      </w:r>
      <w:r>
        <w:rPr>
          <w:rFonts w:ascii="仿宋" w:hAnsi="仿宋" w:eastAsia="仿宋" w:cs="仿宋"/>
          <w:spacing w:val="-4"/>
          <w:sz w:val="28"/>
          <w:szCs w:val="28"/>
        </w:rPr>
        <w:t>智能决策、装备研发等多维度拓展。调研表明，行业对畜牧大数据分析、智能装备集成、智慧牧场系统规划等能力需求迫切。毕业生可在现代化大型养殖企业从事智慧养殖技术管理、精准饲喂决策、智能化疫病监测、智能设备运维等工作；可在智能装备制造企业、农业科技公司从事智能饲喂系统研发、环境控制设备优化、畜牧物联网系统开发等工作；可在政府农业部门从事智慧牧业政策制定、数字牧场建设项目管理、技术推广与培训等工作；还可在畜牧学、农业工程、信息</w:t>
      </w:r>
      <w:r>
        <w:rPr>
          <w:rFonts w:ascii="仿宋" w:hAnsi="仿宋" w:eastAsia="仿宋" w:cs="仿宋"/>
          <w:spacing w:val="-1"/>
          <w:sz w:val="28"/>
          <w:szCs w:val="28"/>
        </w:rPr>
        <w:t>技术等领域继续深造。就业面宽、选择多元，就业前景清晰稳定。</w:t>
      </w:r>
    </w:p>
    <w:p w14:paraId="3FBDF4C6">
      <w:pPr>
        <w:spacing w:before="157" w:line="220" w:lineRule="auto"/>
        <w:ind w:left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3.新疆高校智慧牧业人才培养存在空白</w:t>
      </w:r>
    </w:p>
    <w:p w14:paraId="42AAFA31">
      <w:pPr>
        <w:spacing w:line="357" w:lineRule="auto"/>
        <w:rPr>
          <w:rFonts w:ascii="Arial"/>
          <w:sz w:val="21"/>
        </w:rPr>
      </w:pPr>
    </w:p>
    <w:p w14:paraId="4F064CB4">
      <w:pPr>
        <w:spacing w:before="91" w:line="411" w:lineRule="auto"/>
        <w:ind w:left="29" w:right="93" w:firstLine="611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目前，新疆高校中尚无智慧牧业科学与工程专业的布点。仅靠传</w:t>
      </w:r>
      <w:r>
        <w:rPr>
          <w:rFonts w:ascii="仿宋" w:hAnsi="仿宋" w:eastAsia="仿宋" w:cs="仿宋"/>
          <w:spacing w:val="-4"/>
          <w:sz w:val="28"/>
          <w:szCs w:val="28"/>
        </w:rPr>
        <w:t>统动物科学等专业培养的少量毕业生，远远无法满足新疆畜牧业智能化转型对复合型人才的巨大需求。新疆农业大学作为自治区农业高等教育的重点院校，在畜牧学、计算机科学与技术、农业工程等领域具有深厚的学科积淀和师资优势，增设智慧牧业科学与工程专业，是填补自治区该领域人才培养空白的迫切需要，也是服务自治区绿色畜牧</w:t>
      </w:r>
      <w:r>
        <w:rPr>
          <w:rFonts w:ascii="仿宋" w:hAnsi="仿宋" w:eastAsia="仿宋" w:cs="仿宋"/>
          <w:spacing w:val="-2"/>
          <w:sz w:val="28"/>
          <w:szCs w:val="28"/>
        </w:rPr>
        <w:t>产品产业集群发展的必然选择。</w:t>
      </w:r>
    </w:p>
    <w:p w14:paraId="6CFDCD4B">
      <w:pPr>
        <w:spacing w:before="156" w:line="221" w:lineRule="auto"/>
        <w:ind w:left="40"/>
        <w:outlineLvl w:val="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5"/>
          <w:sz w:val="28"/>
          <w:szCs w:val="28"/>
        </w:rPr>
        <w:t>三、新设“智慧牧业科学与工程</w:t>
      </w:r>
      <w:r>
        <w:rPr>
          <w:rFonts w:ascii="仿宋" w:hAnsi="仿宋" w:eastAsia="仿宋" w:cs="仿宋"/>
          <w:spacing w:val="-100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28"/>
          <w:szCs w:val="28"/>
        </w:rPr>
        <w:t>”专业的必要性</w:t>
      </w:r>
    </w:p>
    <w:p w14:paraId="568CAB82">
      <w:pPr>
        <w:spacing w:line="221" w:lineRule="auto"/>
        <w:rPr>
          <w:rFonts w:ascii="仿宋" w:hAnsi="仿宋" w:eastAsia="仿宋" w:cs="仿宋"/>
          <w:sz w:val="28"/>
          <w:szCs w:val="28"/>
        </w:rPr>
        <w:sectPr>
          <w:pgSz w:w="11906" w:h="16839"/>
          <w:pgMar w:top="1431" w:right="1705" w:bottom="0" w:left="1785" w:header="0" w:footer="0" w:gutter="0"/>
          <w:cols w:space="720" w:num="1"/>
        </w:sectPr>
      </w:pPr>
    </w:p>
    <w:p w14:paraId="0D12AA22">
      <w:pPr>
        <w:spacing w:before="182" w:line="412" w:lineRule="auto"/>
        <w:ind w:left="64" w:right="222" w:firstLine="53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1.开设智慧牧业科学与工程专业，是服务国</w:t>
      </w:r>
      <w:r>
        <w:rPr>
          <w:rFonts w:ascii="仿宋" w:hAnsi="仿宋" w:eastAsia="仿宋" w:cs="仿宋"/>
          <w:spacing w:val="-5"/>
          <w:sz w:val="28"/>
          <w:szCs w:val="28"/>
        </w:rPr>
        <w:t>家数字乡村和农业强</w:t>
      </w:r>
      <w:r>
        <w:rPr>
          <w:rFonts w:ascii="仿宋" w:hAnsi="仿宋" w:eastAsia="仿宋" w:cs="仿宋"/>
          <w:spacing w:val="-7"/>
          <w:sz w:val="28"/>
          <w:szCs w:val="28"/>
        </w:rPr>
        <w:t>国战略的必然要求</w:t>
      </w:r>
    </w:p>
    <w:p w14:paraId="56E243BE">
      <w:pPr>
        <w:spacing w:before="157" w:line="411" w:lineRule="auto"/>
        <w:ind w:left="31" w:firstLine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智慧牧业是智慧农业的重要组成部分，是实现畜牧业现代化的关</w:t>
      </w:r>
      <w:r>
        <w:rPr>
          <w:rFonts w:ascii="仿宋" w:hAnsi="仿宋" w:eastAsia="仿宋" w:cs="仿宋"/>
          <w:spacing w:val="-5"/>
          <w:sz w:val="28"/>
          <w:szCs w:val="28"/>
        </w:rPr>
        <w:t>键路径。国家“十四五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”规划将数字经济列为重点发展方向，农业农</w:t>
      </w:r>
      <w:r>
        <w:rPr>
          <w:rFonts w:ascii="仿宋" w:hAnsi="仿宋" w:eastAsia="仿宋" w:cs="仿宋"/>
          <w:spacing w:val="-4"/>
          <w:sz w:val="28"/>
          <w:szCs w:val="28"/>
        </w:rPr>
        <w:t>村部明确将推进畜牧养殖智慧化作为重要任务。国务院办公厅提出推</w:t>
      </w:r>
      <w:r>
        <w:rPr>
          <w:rFonts w:ascii="仿宋" w:hAnsi="仿宋" w:eastAsia="仿宋" w:cs="仿宋"/>
          <w:spacing w:val="-6"/>
          <w:sz w:val="28"/>
          <w:szCs w:val="28"/>
        </w:rPr>
        <w:t>动畜牧业数字化转型赋能。教育部批准设立智慧牧业科学与工程专业，</w:t>
      </w:r>
      <w:r>
        <w:rPr>
          <w:rFonts w:ascii="仿宋" w:hAnsi="仿宋" w:eastAsia="仿宋" w:cs="仿宋"/>
          <w:spacing w:val="-4"/>
          <w:sz w:val="28"/>
          <w:szCs w:val="28"/>
        </w:rPr>
        <w:t>正是为了主动服务国家重大战略需求。新疆农业大学增设该专业，是</w:t>
      </w:r>
      <w:r>
        <w:rPr>
          <w:rFonts w:ascii="仿宋" w:hAnsi="仿宋" w:eastAsia="仿宋" w:cs="仿宋"/>
          <w:spacing w:val="-1"/>
          <w:sz w:val="28"/>
          <w:szCs w:val="28"/>
        </w:rPr>
        <w:t>深入贯彻落实党中央关于数字乡村和农业现代化决策部署的具体行</w:t>
      </w:r>
    </w:p>
    <w:p w14:paraId="16599E27">
      <w:pPr>
        <w:spacing w:line="221" w:lineRule="auto"/>
        <w:ind w:left="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动，是服务国家战略、担当时代使命的重要体现。</w:t>
      </w:r>
    </w:p>
    <w:p w14:paraId="0F429A49">
      <w:pPr>
        <w:spacing w:line="351" w:lineRule="auto"/>
        <w:rPr>
          <w:rFonts w:ascii="Arial"/>
          <w:sz w:val="21"/>
        </w:rPr>
      </w:pPr>
    </w:p>
    <w:p w14:paraId="0DD6EF1A">
      <w:pPr>
        <w:spacing w:before="91" w:line="412" w:lineRule="auto"/>
        <w:ind w:left="33" w:right="222" w:firstLine="55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2.开设智慧牧业科学与工程专业，是服务新疆经济社会高质量发</w:t>
      </w:r>
      <w:r>
        <w:rPr>
          <w:rFonts w:ascii="仿宋" w:hAnsi="仿宋" w:eastAsia="仿宋" w:cs="仿宋"/>
          <w:spacing w:val="-3"/>
          <w:sz w:val="28"/>
          <w:szCs w:val="28"/>
        </w:rPr>
        <w:t>展的迫切需要</w:t>
      </w:r>
    </w:p>
    <w:p w14:paraId="5A403D98">
      <w:pPr>
        <w:spacing w:before="150" w:line="413" w:lineRule="auto"/>
        <w:ind w:left="33" w:right="222" w:firstLine="557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新疆作为“一带一路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”核心区和国家向西开</w:t>
      </w:r>
      <w:r>
        <w:rPr>
          <w:rFonts w:ascii="仿宋" w:hAnsi="仿宋" w:eastAsia="仿宋" w:cs="仿宋"/>
          <w:spacing w:val="-6"/>
          <w:sz w:val="28"/>
          <w:szCs w:val="28"/>
        </w:rPr>
        <w:t>放的桥头堡，畜牧业</w:t>
      </w:r>
      <w:r>
        <w:rPr>
          <w:rFonts w:ascii="仿宋" w:hAnsi="仿宋" w:eastAsia="仿宋" w:cs="仿宋"/>
          <w:spacing w:val="-4"/>
          <w:sz w:val="28"/>
          <w:szCs w:val="28"/>
        </w:rPr>
        <w:t>是支撑区域经济发展和乡村振兴的重要产业。自治区党委明确提出加快推进畜牧大区向强区转变。然而，新疆畜牧业智能化水平不足，基</w:t>
      </w:r>
      <w:r>
        <w:rPr>
          <w:rFonts w:ascii="仿宋" w:hAnsi="仿宋" w:eastAsia="仿宋" w:cs="仿宋"/>
          <w:spacing w:val="-1"/>
          <w:sz w:val="28"/>
          <w:szCs w:val="28"/>
        </w:rPr>
        <w:t>层畜牧专业技术人员短缺问题突出。2026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年自治区重点产业急需学</w:t>
      </w:r>
      <w:r>
        <w:rPr>
          <w:rFonts w:ascii="仿宋" w:hAnsi="仿宋" w:eastAsia="仿宋" w:cs="仿宋"/>
          <w:spacing w:val="-4"/>
          <w:sz w:val="28"/>
          <w:szCs w:val="28"/>
        </w:rPr>
        <w:t>科专业指导清单中，明确将智慧牧业相关专业列为绿色畜牧产品的急需专业。增设智慧牧业科学与工程专业，将为新疆畜牧业高质量发展提供强有力的人才支撑和智力保障，助力新疆从畜牧大区向畜牧强区</w:t>
      </w:r>
      <w:r>
        <w:rPr>
          <w:rFonts w:ascii="仿宋" w:hAnsi="仿宋" w:eastAsia="仿宋" w:cs="仿宋"/>
          <w:spacing w:val="-6"/>
          <w:sz w:val="28"/>
          <w:szCs w:val="28"/>
        </w:rPr>
        <w:t>迈进。</w:t>
      </w:r>
    </w:p>
    <w:p w14:paraId="509EA027">
      <w:pPr>
        <w:spacing w:before="141" w:line="411" w:lineRule="auto"/>
        <w:ind w:left="32" w:right="222" w:firstLine="55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3.开设智慧牧业科学与工程专业，是推进“新农科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”建设和</w:t>
      </w:r>
      <w:r>
        <w:rPr>
          <w:rFonts w:ascii="仿宋" w:hAnsi="仿宋" w:eastAsia="仿宋" w:cs="仿宋"/>
          <w:spacing w:val="-6"/>
          <w:sz w:val="28"/>
          <w:szCs w:val="28"/>
        </w:rPr>
        <w:t>学校</w:t>
      </w:r>
      <w:r>
        <w:rPr>
          <w:rFonts w:ascii="仿宋" w:hAnsi="仿宋" w:eastAsia="仿宋" w:cs="仿宋"/>
          <w:spacing w:val="-2"/>
          <w:sz w:val="28"/>
          <w:szCs w:val="28"/>
        </w:rPr>
        <w:t>优势学科发展的战略选择</w:t>
      </w:r>
    </w:p>
    <w:p w14:paraId="7985F899">
      <w:pPr>
        <w:spacing w:line="411" w:lineRule="auto"/>
        <w:rPr>
          <w:rFonts w:ascii="仿宋" w:hAnsi="仿宋" w:eastAsia="仿宋" w:cs="仿宋"/>
          <w:sz w:val="28"/>
          <w:szCs w:val="28"/>
        </w:rPr>
        <w:sectPr>
          <w:pgSz w:w="11906" w:h="16839"/>
          <w:pgMar w:top="1431" w:right="1577" w:bottom="0" w:left="1785" w:header="0" w:footer="0" w:gutter="0"/>
          <w:cols w:space="720" w:num="1"/>
        </w:sectPr>
      </w:pPr>
    </w:p>
    <w:p w14:paraId="4F985D89">
      <w:pPr>
        <w:spacing w:before="187" w:line="411" w:lineRule="auto"/>
        <w:ind w:left="31" w:firstLine="56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智慧牧业科学与工程是教育部重点推动的新农科专业，是传统农</w:t>
      </w:r>
      <w:r>
        <w:rPr>
          <w:rFonts w:ascii="仿宋" w:hAnsi="仿宋" w:eastAsia="仿宋" w:cs="仿宋"/>
          <w:spacing w:val="-10"/>
          <w:sz w:val="28"/>
          <w:szCs w:val="28"/>
        </w:rPr>
        <w:t>科与现代信息技术深度融合的典型代表。该专业突出跨学科、跨学院、</w:t>
      </w:r>
      <w:r>
        <w:rPr>
          <w:rFonts w:ascii="仿宋" w:hAnsi="仿宋" w:eastAsia="仿宋" w:cs="仿宋"/>
          <w:spacing w:val="-4"/>
          <w:sz w:val="28"/>
          <w:szCs w:val="28"/>
        </w:rPr>
        <w:t>产教融合的办学理念，有效整合畜牧学、计算机科学与技术、农业工程、环境科学等多学科资源。新疆农业大学畜牧学学科是自治区“十</w:t>
      </w:r>
      <w:r>
        <w:rPr>
          <w:rFonts w:ascii="仿宋" w:hAnsi="仿宋" w:eastAsia="仿宋" w:cs="仿宋"/>
          <w:spacing w:val="-5"/>
          <w:sz w:val="28"/>
          <w:szCs w:val="28"/>
        </w:rPr>
        <w:t>四五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”优势学科，动物科学专业是国家级一流专业建设点，在计算机</w:t>
      </w:r>
      <w:r>
        <w:rPr>
          <w:rFonts w:ascii="仿宋" w:hAnsi="仿宋" w:eastAsia="仿宋" w:cs="仿宋"/>
          <w:spacing w:val="-4"/>
          <w:sz w:val="28"/>
          <w:szCs w:val="28"/>
        </w:rPr>
        <w:t>科学与技术、农业工程等相关领域也具有较强的学科实力。增设智慧</w:t>
      </w:r>
      <w:r>
        <w:rPr>
          <w:rFonts w:ascii="仿宋" w:hAnsi="仿宋" w:eastAsia="仿宋" w:cs="仿宋"/>
          <w:spacing w:val="-5"/>
          <w:sz w:val="28"/>
          <w:szCs w:val="28"/>
        </w:rPr>
        <w:t>牧业科学与工程专业，将有力推动学校学科交叉融合和“新农科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”建</w:t>
      </w:r>
      <w:r>
        <w:rPr>
          <w:rFonts w:ascii="仿宋" w:hAnsi="仿宋" w:eastAsia="仿宋" w:cs="仿宋"/>
          <w:spacing w:val="-1"/>
          <w:sz w:val="28"/>
          <w:szCs w:val="28"/>
        </w:rPr>
        <w:t>设，进一步提升学校服务区域经济社会发展的能力和水平。</w:t>
      </w:r>
    </w:p>
    <w:p w14:paraId="185C096E">
      <w:pPr>
        <w:spacing w:before="156" w:line="412" w:lineRule="auto"/>
        <w:ind w:left="48" w:right="93" w:firstLine="53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4.开设智慧牧业科学与工程专业，是填补新疆智慧牧业人才培养</w:t>
      </w:r>
      <w:r>
        <w:rPr>
          <w:rFonts w:ascii="仿宋" w:hAnsi="仿宋" w:eastAsia="仿宋" w:cs="仿宋"/>
          <w:spacing w:val="-5"/>
          <w:sz w:val="28"/>
          <w:szCs w:val="28"/>
        </w:rPr>
        <w:t>空白的现实需要</w:t>
      </w:r>
    </w:p>
    <w:p w14:paraId="0CD77F3D">
      <w:pPr>
        <w:spacing w:before="159" w:line="411" w:lineRule="auto"/>
        <w:ind w:left="29" w:firstLine="592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当前，全国已有</w:t>
      </w:r>
      <w:r>
        <w:rPr>
          <w:rFonts w:ascii="仿宋" w:hAnsi="仿宋" w:eastAsia="仿宋" w:cs="仿宋"/>
          <w:spacing w:val="-2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15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所高校开设智慧牧业科学与工程专业，西北</w:t>
      </w:r>
      <w:r>
        <w:rPr>
          <w:rFonts w:ascii="仿宋" w:hAnsi="仿宋" w:eastAsia="仿宋" w:cs="仿宋"/>
          <w:spacing w:val="4"/>
          <w:sz w:val="28"/>
          <w:szCs w:val="28"/>
        </w:rPr>
        <w:t>农林科技大学首届毕业生以77.9%的升学率和91%</w:t>
      </w:r>
      <w:r>
        <w:rPr>
          <w:rFonts w:ascii="仿宋" w:hAnsi="仿宋" w:eastAsia="仿宋" w:cs="仿宋"/>
          <w:spacing w:val="3"/>
          <w:sz w:val="28"/>
          <w:szCs w:val="28"/>
        </w:rPr>
        <w:t>的就业率交出亮眼</w:t>
      </w:r>
      <w:r>
        <w:rPr>
          <w:rFonts w:ascii="仿宋" w:hAnsi="仿宋" w:eastAsia="仿宋" w:cs="仿宋"/>
          <w:spacing w:val="-4"/>
          <w:sz w:val="28"/>
          <w:szCs w:val="28"/>
        </w:rPr>
        <w:t>成绩单。然而，新疆至今尚无高校开设该专业，智慧牧业人才培养存</w:t>
      </w:r>
      <w:r>
        <w:rPr>
          <w:rFonts w:ascii="仿宋" w:hAnsi="仿宋" w:eastAsia="仿宋" w:cs="仿宋"/>
          <w:spacing w:val="-10"/>
          <w:sz w:val="28"/>
          <w:szCs w:val="28"/>
        </w:rPr>
        <w:t>在明显空白。新疆农业大学作为新疆农业高等教育的排头兵，有责任、</w:t>
      </w:r>
      <w:r>
        <w:rPr>
          <w:rFonts w:ascii="仿宋" w:hAnsi="仿宋" w:eastAsia="仿宋" w:cs="仿宋"/>
          <w:spacing w:val="-4"/>
          <w:sz w:val="28"/>
          <w:szCs w:val="28"/>
        </w:rPr>
        <w:t>有能力填补这一空白。学校依托畜牧学优势学科和国家级一流专业建设点，已具备开设该专业的扎实基础。增设该专业，将有效缓解新疆智慧牧业领域人才严重短缺的问题，为新疆畜牧业智能化转型提供人才保障。</w:t>
      </w:r>
    </w:p>
    <w:p w14:paraId="3CBDFD1B">
      <w:pPr>
        <w:spacing w:before="155" w:line="222" w:lineRule="auto"/>
        <w:ind w:left="65"/>
        <w:outlineLvl w:val="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</w:rPr>
        <w:t>四、新设“智慧牧业科学与工程</w:t>
      </w:r>
      <w:r>
        <w:rPr>
          <w:rFonts w:ascii="仿宋" w:hAnsi="仿宋" w:eastAsia="仿宋" w:cs="仿宋"/>
          <w:spacing w:val="-101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28"/>
          <w:szCs w:val="28"/>
        </w:rPr>
        <w:t>”专业的条件分析</w:t>
      </w:r>
    </w:p>
    <w:p w14:paraId="5C9273AC">
      <w:pPr>
        <w:spacing w:line="350" w:lineRule="auto"/>
        <w:rPr>
          <w:rFonts w:ascii="Arial"/>
          <w:sz w:val="21"/>
        </w:rPr>
      </w:pPr>
    </w:p>
    <w:p w14:paraId="50B4BD06">
      <w:pPr>
        <w:spacing w:before="91" w:line="222" w:lineRule="auto"/>
        <w:ind w:left="60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1.新疆具有丰富的畜牧业资源和广阔的智慧牧业</w:t>
      </w:r>
      <w:r>
        <w:rPr>
          <w:rFonts w:ascii="仿宋" w:hAnsi="仿宋" w:eastAsia="仿宋" w:cs="仿宋"/>
          <w:spacing w:val="-2"/>
          <w:sz w:val="28"/>
          <w:szCs w:val="28"/>
        </w:rPr>
        <w:t>应用场景</w:t>
      </w:r>
    </w:p>
    <w:p w14:paraId="0B0C9EB9">
      <w:pPr>
        <w:spacing w:line="222" w:lineRule="auto"/>
        <w:rPr>
          <w:rFonts w:ascii="仿宋" w:hAnsi="仿宋" w:eastAsia="仿宋" w:cs="仿宋"/>
          <w:sz w:val="28"/>
          <w:szCs w:val="28"/>
        </w:rPr>
        <w:sectPr>
          <w:pgSz w:w="11906" w:h="16839"/>
          <w:pgMar w:top="1431" w:right="1705" w:bottom="0" w:left="1785" w:header="0" w:footer="0" w:gutter="0"/>
          <w:cols w:space="720" w:num="1"/>
        </w:sectPr>
      </w:pPr>
    </w:p>
    <w:p w14:paraId="7EBF6ED3">
      <w:pPr>
        <w:spacing w:before="176" w:line="412" w:lineRule="auto"/>
        <w:ind w:left="31" w:right="45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新疆是我国重要的畜牧业生产基地，牲畜存栏量位居全国前列，</w:t>
      </w:r>
      <w:r>
        <w:rPr>
          <w:rFonts w:ascii="仿宋" w:hAnsi="仿宋" w:eastAsia="仿宋" w:cs="仿宋"/>
          <w:spacing w:val="-1"/>
          <w:sz w:val="28"/>
          <w:szCs w:val="28"/>
        </w:rPr>
        <w:t>羊和马的数量分别位于全国第二和第一。2</w:t>
      </w:r>
      <w:r>
        <w:rPr>
          <w:rFonts w:ascii="仿宋" w:hAnsi="仿宋" w:eastAsia="仿宋" w:cs="仿宋"/>
          <w:spacing w:val="-2"/>
          <w:sz w:val="28"/>
          <w:szCs w:val="28"/>
        </w:rPr>
        <w:t>024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年全区畜牧业产值突</w:t>
      </w:r>
      <w:r>
        <w:rPr>
          <w:rFonts w:ascii="仿宋" w:hAnsi="仿宋" w:eastAsia="仿宋" w:cs="仿宋"/>
          <w:spacing w:val="-4"/>
          <w:sz w:val="28"/>
          <w:szCs w:val="28"/>
        </w:rPr>
        <w:t>破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1122</w:t>
      </w:r>
      <w:r>
        <w:rPr>
          <w:rFonts w:ascii="仿宋" w:hAnsi="仿宋" w:eastAsia="仿宋" w:cs="仿宋"/>
          <w:spacing w:val="-5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亿元。新疆已涌现出一批智慧牧业先行先试的典型案</w:t>
      </w:r>
      <w:r>
        <w:rPr>
          <w:rFonts w:ascii="仿宋" w:hAnsi="仿宋" w:eastAsia="仿宋" w:cs="仿宋"/>
          <w:spacing w:val="-5"/>
          <w:sz w:val="28"/>
          <w:szCs w:val="28"/>
        </w:rPr>
        <w:t>例：</w:t>
      </w:r>
      <w:r>
        <w:rPr>
          <w:rFonts w:ascii="仿宋" w:hAnsi="仿宋" w:eastAsia="仿宋" w:cs="仿宋"/>
          <w:spacing w:val="-8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昌吉国家农高区围绕自治区“牧九条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”政策推动畜牧业智能化发展；新</w:t>
      </w:r>
      <w:r>
        <w:rPr>
          <w:rFonts w:ascii="仿宋" w:hAnsi="仿宋" w:eastAsia="仿宋" w:cs="仿宋"/>
          <w:spacing w:val="-4"/>
          <w:sz w:val="28"/>
          <w:szCs w:val="28"/>
        </w:rPr>
        <w:t>疆天莱农牧集团已建成智慧牧场；天羊牧业计划引入全自动化“无人</w:t>
      </w:r>
      <w:r>
        <w:rPr>
          <w:rFonts w:ascii="仿宋" w:hAnsi="仿宋" w:eastAsia="仿宋" w:cs="仿宋"/>
          <w:spacing w:val="-5"/>
          <w:sz w:val="28"/>
          <w:szCs w:val="28"/>
        </w:rPr>
        <w:t>羊舍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”、全智能无人巡检机器人、饲喂机器人等智能化设备。这些丰</w:t>
      </w:r>
      <w:r>
        <w:rPr>
          <w:rFonts w:ascii="仿宋" w:hAnsi="仿宋" w:eastAsia="仿宋" w:cs="仿宋"/>
          <w:spacing w:val="-1"/>
          <w:sz w:val="28"/>
          <w:szCs w:val="28"/>
        </w:rPr>
        <w:t>富的产业实践为智慧牧业专业的人才培养提供了真实的实践场景和</w:t>
      </w:r>
      <w:r>
        <w:rPr>
          <w:rFonts w:ascii="仿宋" w:hAnsi="仿宋" w:eastAsia="仿宋" w:cs="仿宋"/>
          <w:spacing w:val="-3"/>
          <w:sz w:val="28"/>
          <w:szCs w:val="28"/>
        </w:rPr>
        <w:t>广阔的就业空间。</w:t>
      </w:r>
    </w:p>
    <w:p w14:paraId="264757B5">
      <w:pPr>
        <w:spacing w:before="154" w:line="223" w:lineRule="auto"/>
        <w:ind w:left="58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2.新疆农业大学具有扎实的学科基础和雄厚的师资力量</w:t>
      </w:r>
    </w:p>
    <w:p w14:paraId="6674AEF3">
      <w:pPr>
        <w:spacing w:line="350" w:lineRule="auto"/>
        <w:rPr>
          <w:rFonts w:ascii="Arial"/>
          <w:sz w:val="21"/>
        </w:rPr>
      </w:pPr>
    </w:p>
    <w:p w14:paraId="62EC526D">
      <w:pPr>
        <w:spacing w:before="91" w:line="411" w:lineRule="auto"/>
        <w:ind w:left="3" w:firstLine="588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智慧牧业科学与工程专业依托新疆农业大学畜牧学学科。该学科</w:t>
      </w:r>
      <w:r>
        <w:rPr>
          <w:rFonts w:ascii="仿宋" w:hAnsi="仿宋" w:eastAsia="仿宋" w:cs="仿宋"/>
          <w:spacing w:val="-5"/>
          <w:sz w:val="28"/>
          <w:szCs w:val="28"/>
        </w:rPr>
        <w:t>发轫于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1952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年，1984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年开始招收硕士研究生</w:t>
      </w:r>
      <w:r>
        <w:rPr>
          <w:rFonts w:ascii="仿宋" w:hAnsi="仿宋" w:eastAsia="仿宋" w:cs="仿宋"/>
          <w:spacing w:val="-6"/>
          <w:sz w:val="28"/>
          <w:szCs w:val="28"/>
        </w:rPr>
        <w:t>，1999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年开始招收博士</w:t>
      </w:r>
      <w:r>
        <w:rPr>
          <w:rFonts w:ascii="仿宋" w:hAnsi="仿宋" w:eastAsia="仿宋" w:cs="仿宋"/>
          <w:spacing w:val="-2"/>
          <w:sz w:val="28"/>
          <w:szCs w:val="28"/>
        </w:rPr>
        <w:t>研究生，2011</w:t>
      </w:r>
      <w:r>
        <w:rPr>
          <w:rFonts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年成为一级学科博士授权点，是自治区“十二五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”和</w:t>
      </w:r>
      <w:r>
        <w:rPr>
          <w:rFonts w:ascii="仿宋" w:hAnsi="仿宋" w:eastAsia="仿宋" w:cs="仿宋"/>
          <w:spacing w:val="-12"/>
          <w:sz w:val="28"/>
          <w:szCs w:val="28"/>
        </w:rPr>
        <w:t>“十三五</w:t>
      </w:r>
      <w:r>
        <w:rPr>
          <w:rFonts w:ascii="仿宋" w:hAnsi="仿宋" w:eastAsia="仿宋" w:cs="仿宋"/>
          <w:spacing w:val="-8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2"/>
          <w:sz w:val="28"/>
          <w:szCs w:val="28"/>
        </w:rPr>
        <w:t>”重点建设学科，入选“十四五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2"/>
          <w:sz w:val="28"/>
          <w:szCs w:val="28"/>
        </w:rPr>
        <w:t>”自治区优势学科创新工程，</w:t>
      </w:r>
      <w:r>
        <w:rPr>
          <w:rFonts w:ascii="仿宋" w:hAnsi="仿宋" w:eastAsia="仿宋" w:cs="仿宋"/>
          <w:spacing w:val="-1"/>
          <w:sz w:val="28"/>
          <w:szCs w:val="28"/>
        </w:rPr>
        <w:t>第四轮学科评估为</w:t>
      </w:r>
      <w:r>
        <w:rPr>
          <w:rFonts w:ascii="仿宋" w:hAnsi="仿宋" w:eastAsia="仿宋" w:cs="仿宋"/>
          <w:spacing w:val="-5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C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级。动物科学专业是国家级一流专业建设点。</w:t>
      </w:r>
    </w:p>
    <w:p w14:paraId="155C98E4">
      <w:pPr>
        <w:spacing w:before="153" w:line="412" w:lineRule="auto"/>
        <w:ind w:left="31" w:firstLine="563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1"/>
          <w:sz w:val="28"/>
          <w:szCs w:val="28"/>
        </w:rPr>
        <w:t>专业所在动物科学学院现有专任教师中教授</w:t>
      </w:r>
      <w:r>
        <w:rPr>
          <w:rFonts w:ascii="仿宋" w:hAnsi="仿宋" w:eastAsia="仿宋" w:cs="仿宋"/>
          <w:spacing w:val="-6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</w:rPr>
        <w:t>14</w:t>
      </w:r>
      <w:r>
        <w:rPr>
          <w:rFonts w:ascii="仿宋" w:hAnsi="仿宋" w:eastAsia="仿宋" w:cs="仿宋"/>
          <w:spacing w:val="-7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</w:rPr>
        <w:t>人、副教授</w:t>
      </w:r>
      <w:r>
        <w:rPr>
          <w:rFonts w:ascii="仿宋" w:hAnsi="仿宋" w:eastAsia="仿宋" w:cs="仿宋"/>
          <w:spacing w:val="-6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</w:rPr>
        <w:t>12</w:t>
      </w:r>
      <w:r>
        <w:rPr>
          <w:rFonts w:ascii="仿宋" w:hAnsi="仿宋" w:eastAsia="仿宋" w:cs="仿宋"/>
          <w:spacing w:val="-7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</w:rPr>
        <w:t>人，</w:t>
      </w:r>
      <w:r>
        <w:rPr>
          <w:rFonts w:ascii="仿宋" w:hAnsi="仿宋" w:eastAsia="仿宋" w:cs="仿宋"/>
          <w:spacing w:val="1"/>
          <w:sz w:val="28"/>
          <w:szCs w:val="28"/>
        </w:rPr>
        <w:t>具有博士学位教师占比超过70%。学院拥有国家级实验教学</w:t>
      </w:r>
      <w:r>
        <w:rPr>
          <w:rFonts w:ascii="仿宋" w:hAnsi="仿宋" w:eastAsia="仿宋" w:cs="仿宋"/>
          <w:sz w:val="28"/>
          <w:szCs w:val="28"/>
        </w:rPr>
        <w:t>示范中心</w:t>
      </w:r>
      <w:r>
        <w:rPr>
          <w:rFonts w:ascii="仿宋" w:hAnsi="仿宋" w:eastAsia="仿宋" w:cs="仿宋"/>
          <w:spacing w:val="-2"/>
          <w:sz w:val="28"/>
          <w:szCs w:val="28"/>
        </w:rPr>
        <w:t>1</w:t>
      </w:r>
      <w:r>
        <w:rPr>
          <w:rFonts w:ascii="仿宋" w:hAnsi="仿宋" w:eastAsia="仿宋" w:cs="仿宋"/>
          <w:spacing w:val="-5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个（动物生产与疫病防治实验教学中心）、农业农村部西部观测站</w:t>
      </w:r>
      <w:r>
        <w:rPr>
          <w:rFonts w:ascii="仿宋" w:hAnsi="仿宋" w:eastAsia="仿宋" w:cs="仿宋"/>
          <w:spacing w:val="-9"/>
          <w:sz w:val="28"/>
          <w:szCs w:val="28"/>
        </w:rPr>
        <w:t>1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个（西北草食动物营养与饲料观测站）、自治</w:t>
      </w:r>
      <w:r>
        <w:rPr>
          <w:rFonts w:ascii="仿宋" w:hAnsi="仿宋" w:eastAsia="仿宋" w:cs="仿宋"/>
          <w:spacing w:val="-10"/>
          <w:sz w:val="28"/>
          <w:szCs w:val="28"/>
        </w:rPr>
        <w:t>区重点实验室2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个（新</w:t>
      </w:r>
      <w:r>
        <w:rPr>
          <w:rFonts w:ascii="仿宋" w:hAnsi="仿宋" w:eastAsia="仿宋" w:cs="仿宋"/>
          <w:spacing w:val="-4"/>
          <w:sz w:val="28"/>
          <w:szCs w:val="28"/>
        </w:rPr>
        <w:t>疆肉乳用草食动物营养重点实验室、新疆马繁育与运动生理重点实验</w:t>
      </w:r>
      <w:r>
        <w:rPr>
          <w:rFonts w:ascii="仿宋" w:hAnsi="仿宋" w:eastAsia="仿宋" w:cs="仿宋"/>
          <w:spacing w:val="-10"/>
          <w:sz w:val="28"/>
          <w:szCs w:val="28"/>
        </w:rPr>
        <w:t>室（培育</w:t>
      </w:r>
      <w:r>
        <w:rPr>
          <w:rFonts w:ascii="仿宋" w:hAnsi="仿宋" w:eastAsia="仿宋" w:cs="仿宋"/>
          <w:spacing w:val="6"/>
          <w:sz w:val="28"/>
          <w:szCs w:val="28"/>
        </w:rPr>
        <w:t>））</w:t>
      </w:r>
      <w:r>
        <w:rPr>
          <w:rFonts w:ascii="仿宋" w:hAnsi="仿宋" w:eastAsia="仿宋" w:cs="仿宋"/>
          <w:spacing w:val="-10"/>
          <w:sz w:val="28"/>
          <w:szCs w:val="28"/>
        </w:rPr>
        <w:t>、</w:t>
      </w:r>
      <w:r>
        <w:rPr>
          <w:rFonts w:ascii="仿宋" w:hAnsi="仿宋" w:eastAsia="仿宋" w:cs="仿宋"/>
          <w:spacing w:val="-8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自治区工程中心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1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个（新疆奶业工</w:t>
      </w:r>
      <w:r>
        <w:rPr>
          <w:rFonts w:ascii="仿宋" w:hAnsi="仿宋" w:eastAsia="仿宋" w:cs="仿宋"/>
          <w:spacing w:val="-11"/>
          <w:sz w:val="28"/>
          <w:szCs w:val="28"/>
        </w:rPr>
        <w:t>程中心）、</w:t>
      </w:r>
      <w:r>
        <w:rPr>
          <w:rFonts w:ascii="仿宋" w:hAnsi="仿宋" w:eastAsia="仿宋" w:cs="仿宋"/>
          <w:spacing w:val="-8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</w:rPr>
        <w:t>自治区</w:t>
      </w:r>
      <w:r>
        <w:rPr>
          <w:rFonts w:ascii="仿宋" w:hAnsi="仿宋" w:eastAsia="仿宋" w:cs="仿宋"/>
          <w:spacing w:val="-2"/>
          <w:sz w:val="28"/>
          <w:szCs w:val="28"/>
        </w:rPr>
        <w:t>产学研示范基地5</w:t>
      </w:r>
      <w:r>
        <w:rPr>
          <w:rFonts w:ascii="仿宋" w:hAnsi="仿宋" w:eastAsia="仿宋" w:cs="仿宋"/>
          <w:spacing w:val="-5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个。学院已组建由畜牧学教授、人工智能与大数据</w:t>
      </w:r>
    </w:p>
    <w:p w14:paraId="390431D2">
      <w:pPr>
        <w:spacing w:line="412" w:lineRule="auto"/>
        <w:rPr>
          <w:rFonts w:ascii="仿宋" w:hAnsi="仿宋" w:eastAsia="仿宋" w:cs="仿宋"/>
          <w:sz w:val="28"/>
          <w:szCs w:val="28"/>
        </w:rPr>
        <w:sectPr>
          <w:pgSz w:w="11906" w:h="16839"/>
          <w:pgMar w:top="1431" w:right="1718" w:bottom="0" w:left="1785" w:header="0" w:footer="0" w:gutter="0"/>
          <w:cols w:space="720" w:num="1"/>
        </w:sectPr>
      </w:pPr>
    </w:p>
    <w:p w14:paraId="0FD70768">
      <w:pPr>
        <w:spacing w:before="178" w:line="412" w:lineRule="auto"/>
        <w:ind w:left="31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领域教师、机械工程领域教师构成的跨学科师资团队，为智慧牧业专</w:t>
      </w:r>
      <w:r>
        <w:rPr>
          <w:rFonts w:ascii="仿宋" w:hAnsi="仿宋" w:eastAsia="仿宋" w:cs="仿宋"/>
          <w:spacing w:val="-9"/>
          <w:sz w:val="28"/>
          <w:szCs w:val="28"/>
        </w:rPr>
        <w:t>业的开设提供了坚实的师资保障。学院获批国家产业创新体系（奶牛）</w:t>
      </w:r>
      <w:r>
        <w:rPr>
          <w:rFonts w:ascii="仿宋" w:hAnsi="仿宋" w:eastAsia="仿宋" w:cs="仿宋"/>
          <w:spacing w:val="-5"/>
          <w:sz w:val="28"/>
          <w:szCs w:val="28"/>
        </w:rPr>
        <w:t>新疆团队、自治区“马产业天山创新团队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”等创新团队，是自治区马</w:t>
      </w:r>
      <w:r>
        <w:rPr>
          <w:rFonts w:ascii="仿宋" w:hAnsi="仿宋" w:eastAsia="仿宋" w:cs="仿宋"/>
          <w:spacing w:val="-6"/>
          <w:sz w:val="28"/>
          <w:szCs w:val="28"/>
        </w:rPr>
        <w:t>业协会、</w:t>
      </w:r>
      <w:r>
        <w:rPr>
          <w:rFonts w:ascii="仿宋" w:hAnsi="仿宋" w:eastAsia="仿宋" w:cs="仿宋"/>
          <w:spacing w:val="-5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自治区奶业协会理事长单位。</w:t>
      </w:r>
    </w:p>
    <w:p w14:paraId="691AFBCD">
      <w:pPr>
        <w:spacing w:before="154" w:line="222" w:lineRule="auto"/>
        <w:ind w:left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3.新疆农业大学具备完善的教学条件和实践平台</w:t>
      </w:r>
    </w:p>
    <w:p w14:paraId="7F9A733B">
      <w:pPr>
        <w:spacing w:line="361" w:lineRule="auto"/>
        <w:rPr>
          <w:rFonts w:ascii="Arial"/>
          <w:sz w:val="21"/>
        </w:rPr>
      </w:pPr>
    </w:p>
    <w:p w14:paraId="1423182D">
      <w:pPr>
        <w:spacing w:before="91" w:line="411" w:lineRule="auto"/>
        <w:ind w:left="22" w:right="26" w:firstLine="58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学校现有智慧牧场实训室、动物繁育室、动物营养与饲料价值评</w:t>
      </w:r>
      <w:r>
        <w:rPr>
          <w:rFonts w:ascii="仿宋" w:hAnsi="仿宋" w:eastAsia="仿宋" w:cs="仿宋"/>
          <w:spacing w:val="-6"/>
          <w:sz w:val="28"/>
          <w:szCs w:val="28"/>
        </w:rPr>
        <w:t>价室、动物生产室、分子遗传室等专业实验室，总面积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119</w:t>
      </w:r>
      <w:r>
        <w:rPr>
          <w:rFonts w:ascii="仿宋" w:hAnsi="仿宋" w:eastAsia="仿宋" w:cs="仿宋"/>
          <w:spacing w:val="-7"/>
          <w:sz w:val="28"/>
          <w:szCs w:val="28"/>
        </w:rPr>
        <w:t>6</w:t>
      </w:r>
      <w:r>
        <w:rPr>
          <w:rFonts w:ascii="仿宋" w:hAnsi="仿宋" w:eastAsia="仿宋" w:cs="仿宋"/>
          <w:spacing w:val="-5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平方米，</w:t>
      </w:r>
      <w:r>
        <w:rPr>
          <w:rFonts w:ascii="仿宋" w:hAnsi="仿宋" w:eastAsia="仿宋" w:cs="仿宋"/>
          <w:spacing w:val="-3"/>
          <w:sz w:val="28"/>
          <w:szCs w:val="28"/>
        </w:rPr>
        <w:t>仪器设备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901</w:t>
      </w:r>
      <w:r>
        <w:rPr>
          <w:rFonts w:ascii="仿宋" w:hAnsi="仿宋" w:eastAsia="仿宋" w:cs="仿宋"/>
          <w:spacing w:val="-2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台（件</w:t>
      </w:r>
      <w:r>
        <w:rPr>
          <w:rFonts w:ascii="仿宋" w:hAnsi="仿宋" w:eastAsia="仿宋" w:cs="仿宋"/>
          <w:spacing w:val="17"/>
          <w:sz w:val="28"/>
          <w:szCs w:val="28"/>
        </w:rPr>
        <w:t>），</w:t>
      </w:r>
      <w:r>
        <w:rPr>
          <w:rFonts w:ascii="仿宋" w:hAnsi="仿宋" w:eastAsia="仿宋" w:cs="仿宋"/>
          <w:spacing w:val="-3"/>
          <w:sz w:val="28"/>
          <w:szCs w:val="28"/>
        </w:rPr>
        <w:t>总值</w:t>
      </w:r>
      <w:r>
        <w:rPr>
          <w:rFonts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585.92</w:t>
      </w:r>
      <w:r>
        <w:rPr>
          <w:rFonts w:ascii="仿宋" w:hAnsi="仿宋" w:eastAsia="仿宋" w:cs="仿宋"/>
          <w:spacing w:val="-5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万元。已配备智能投料系统、</w:t>
      </w:r>
      <w:r>
        <w:rPr>
          <w:rFonts w:ascii="仿宋" w:hAnsi="仿宋" w:eastAsia="仿宋" w:cs="仿宋"/>
          <w:spacing w:val="1"/>
          <w:sz w:val="28"/>
          <w:szCs w:val="28"/>
        </w:rPr>
        <w:t>智能环控系统、智能</w:t>
      </w:r>
      <w:r>
        <w:rPr>
          <w:rFonts w:ascii="仿宋" w:hAnsi="仿宋" w:eastAsia="仿宋" w:cs="仿宋"/>
          <w:sz w:val="28"/>
          <w:szCs w:val="28"/>
        </w:rPr>
        <w:t>AI</w:t>
      </w:r>
      <w:r>
        <w:rPr>
          <w:rFonts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巡检系统、智能环境立体感知系统、智能中</w:t>
      </w:r>
      <w:r>
        <w:rPr>
          <w:rFonts w:ascii="仿宋" w:hAnsi="仿宋" w:eastAsia="仿宋" w:cs="仿宋"/>
          <w:spacing w:val="-4"/>
          <w:sz w:val="28"/>
          <w:szCs w:val="28"/>
        </w:rPr>
        <w:t>央控制台、智慧养殖数字孪生系统等智慧牧业专用教学设备，以及热</w:t>
      </w:r>
      <w:r>
        <w:rPr>
          <w:rFonts w:ascii="仿宋" w:hAnsi="仿宋" w:eastAsia="仿宋" w:cs="仿宋"/>
          <w:spacing w:val="-9"/>
          <w:sz w:val="28"/>
          <w:szCs w:val="28"/>
        </w:rPr>
        <w:t>成像健康监测仪、动物行为记录仪、动物应激</w:t>
      </w:r>
      <w:r>
        <w:rPr>
          <w:rFonts w:ascii="仿宋" w:hAnsi="仿宋" w:eastAsia="仿宋" w:cs="仿宋"/>
          <w:spacing w:val="-10"/>
          <w:sz w:val="28"/>
          <w:szCs w:val="28"/>
        </w:rPr>
        <w:t>监测仪、温湿度记录仪、</w:t>
      </w:r>
      <w:r>
        <w:rPr>
          <w:rFonts w:ascii="仿宋" w:hAnsi="仿宋" w:eastAsia="仿宋" w:cs="仿宋"/>
          <w:sz w:val="28"/>
          <w:szCs w:val="28"/>
        </w:rPr>
        <w:t>便携氨气检测仪等环境监测设备。学校与天康</w:t>
      </w:r>
      <w:r>
        <w:rPr>
          <w:rFonts w:ascii="仿宋" w:hAnsi="仿宋" w:eastAsia="仿宋" w:cs="仿宋"/>
          <w:spacing w:val="-1"/>
          <w:sz w:val="28"/>
          <w:szCs w:val="28"/>
        </w:rPr>
        <w:t>集团、新疆泰昆集团、</w:t>
      </w:r>
      <w:r>
        <w:rPr>
          <w:rFonts w:ascii="仿宋" w:hAnsi="仿宋" w:eastAsia="仿宋" w:cs="仿宋"/>
          <w:spacing w:val="1"/>
          <w:sz w:val="28"/>
          <w:szCs w:val="28"/>
        </w:rPr>
        <w:t>昌吉市现代牧业等20</w:t>
      </w:r>
      <w:r>
        <w:rPr>
          <w:rFonts w:ascii="仿宋" w:hAnsi="仿宋" w:eastAsia="仿宋" w:cs="仿宋"/>
          <w:spacing w:val="-3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余家知名企业建立了产学研合作关系和校外实</w:t>
      </w:r>
      <w:r>
        <w:rPr>
          <w:rFonts w:ascii="仿宋" w:hAnsi="仿宋" w:eastAsia="仿宋" w:cs="仿宋"/>
          <w:spacing w:val="-2"/>
          <w:sz w:val="28"/>
          <w:szCs w:val="28"/>
        </w:rPr>
        <w:t>践教学基地。近三年累计投入</w:t>
      </w:r>
      <w:r>
        <w:rPr>
          <w:rFonts w:ascii="仿宋" w:hAnsi="仿宋" w:eastAsia="仿宋" w:cs="仿宋"/>
          <w:spacing w:val="-3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1200</w:t>
      </w:r>
      <w:r>
        <w:rPr>
          <w:rFonts w:ascii="仿宋" w:hAnsi="仿宋" w:eastAsia="仿宋" w:cs="仿宋"/>
          <w:spacing w:val="-5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余万元用于相关实验室升级和教</w:t>
      </w:r>
      <w:r>
        <w:rPr>
          <w:rFonts w:ascii="仿宋" w:hAnsi="仿宋" w:eastAsia="仿宋" w:cs="仿宋"/>
          <w:spacing w:val="-4"/>
          <w:sz w:val="28"/>
          <w:szCs w:val="28"/>
        </w:rPr>
        <w:t>学条件改善，办学条件完全符合《普通高等学校本科专业类教学质量</w:t>
      </w:r>
      <w:r>
        <w:rPr>
          <w:rFonts w:ascii="仿宋" w:hAnsi="仿宋" w:eastAsia="仿宋" w:cs="仿宋"/>
          <w:sz w:val="28"/>
          <w:szCs w:val="28"/>
        </w:rPr>
        <w:t>国家标准》的要求。专业建设规划分为三个阶段</w:t>
      </w:r>
      <w:r>
        <w:rPr>
          <w:rFonts w:ascii="仿宋" w:hAnsi="仿宋" w:eastAsia="仿宋" w:cs="仿宋"/>
          <w:spacing w:val="-1"/>
          <w:sz w:val="28"/>
          <w:szCs w:val="28"/>
        </w:rPr>
        <w:t>：第一阶段（2026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—2027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年）重点进行师资队伍建设、特色课程教材建设、虚拟仿真实验项目开发和专用仪器设备购置；第二阶段（2027—2028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年）重点拓展智慧牧业相关企业作为专业实习基地；第三阶段（2028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年之</w:t>
      </w:r>
      <w:r>
        <w:rPr>
          <w:rFonts w:ascii="仿宋" w:hAnsi="仿宋" w:eastAsia="仿宋" w:cs="仿宋"/>
          <w:spacing w:val="-2"/>
          <w:sz w:val="28"/>
          <w:szCs w:val="28"/>
        </w:rPr>
        <w:t>后）建成智慧牧业虚拟仿真实验教学平台，教学保障能力持续提升。</w:t>
      </w:r>
    </w:p>
    <w:p w14:paraId="26531989">
      <w:pPr>
        <w:spacing w:line="411" w:lineRule="auto"/>
        <w:rPr>
          <w:rFonts w:ascii="仿宋" w:hAnsi="仿宋" w:eastAsia="仿宋" w:cs="仿宋"/>
          <w:sz w:val="28"/>
          <w:szCs w:val="28"/>
        </w:rPr>
        <w:sectPr>
          <w:pgSz w:w="11906" w:h="16839"/>
          <w:pgMar w:top="1431" w:right="1679" w:bottom="0" w:left="1785" w:header="0" w:footer="0" w:gutter="0"/>
          <w:cols w:space="720" w:num="1"/>
        </w:sectPr>
      </w:pPr>
    </w:p>
    <w:p w14:paraId="294E11B9">
      <w:pPr>
        <w:spacing w:before="181" w:line="222" w:lineRule="auto"/>
        <w:ind w:left="58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4.全国智慧牧业专业建设已积累丰富经验可供借鉴</w:t>
      </w:r>
    </w:p>
    <w:p w14:paraId="3B693A71">
      <w:pPr>
        <w:spacing w:line="346" w:lineRule="auto"/>
        <w:rPr>
          <w:rFonts w:ascii="Arial"/>
          <w:sz w:val="21"/>
        </w:rPr>
      </w:pPr>
    </w:p>
    <w:p w14:paraId="2E5E5F66">
      <w:pPr>
        <w:spacing w:before="91" w:line="412" w:lineRule="auto"/>
        <w:ind w:left="31" w:right="13" w:firstLine="612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自</w:t>
      </w:r>
      <w:r>
        <w:rPr>
          <w:rFonts w:ascii="仿宋" w:hAnsi="仿宋" w:eastAsia="仿宋" w:cs="仿宋"/>
          <w:spacing w:val="-5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2021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年教育部批准设立智慧牧业科学与工程专业以来，西北农林科技大学、河南农业大学等首批开设院校已积累了丰富的办学经</w:t>
      </w:r>
      <w:r>
        <w:rPr>
          <w:rFonts w:ascii="仿宋" w:hAnsi="仿宋" w:eastAsia="仿宋" w:cs="仿宋"/>
          <w:spacing w:val="-5"/>
          <w:sz w:val="28"/>
          <w:szCs w:val="28"/>
        </w:rPr>
        <w:t>验。“智慧牧业科学与工程专业虚拟教研室</w:t>
      </w:r>
      <w:r>
        <w:rPr>
          <w:rFonts w:ascii="仿宋" w:hAnsi="仿宋" w:eastAsia="仿宋" w:cs="仿宋"/>
          <w:spacing w:val="-10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”成功入选教育部首批虚</w:t>
      </w:r>
      <w:r>
        <w:rPr>
          <w:rFonts w:ascii="仿宋" w:hAnsi="仿宋" w:eastAsia="仿宋" w:cs="仿宋"/>
          <w:spacing w:val="1"/>
          <w:sz w:val="28"/>
          <w:szCs w:val="28"/>
        </w:rPr>
        <w:t>拟教研室建设试点名单。西北农林科技大学首届毕业生交出7</w:t>
      </w:r>
      <w:r>
        <w:rPr>
          <w:rFonts w:ascii="仿宋" w:hAnsi="仿宋" w:eastAsia="仿宋" w:cs="仿宋"/>
          <w:sz w:val="28"/>
          <w:szCs w:val="28"/>
        </w:rPr>
        <w:t>7.9%升</w:t>
      </w:r>
      <w:r>
        <w:rPr>
          <w:rFonts w:ascii="仿宋" w:hAnsi="仿宋" w:eastAsia="仿宋" w:cs="仿宋"/>
          <w:spacing w:val="1"/>
          <w:sz w:val="28"/>
          <w:szCs w:val="28"/>
        </w:rPr>
        <w:t>学率和91%就业率的亮眼成绩单，充分证明了该专业人才培</w:t>
      </w:r>
      <w:r>
        <w:rPr>
          <w:rFonts w:ascii="仿宋" w:hAnsi="仿宋" w:eastAsia="仿宋" w:cs="仿宋"/>
          <w:sz w:val="28"/>
          <w:szCs w:val="28"/>
        </w:rPr>
        <w:t>养模式的</w:t>
      </w:r>
      <w:r>
        <w:rPr>
          <w:rFonts w:ascii="仿宋" w:hAnsi="仿宋" w:eastAsia="仿宋" w:cs="仿宋"/>
          <w:spacing w:val="-4"/>
          <w:sz w:val="28"/>
          <w:szCs w:val="28"/>
        </w:rPr>
        <w:t>可行性和有效性。这些经验为新疆农业大学开设该专业提供了宝贵的</w:t>
      </w:r>
      <w:r>
        <w:rPr>
          <w:rFonts w:ascii="仿宋" w:hAnsi="仿宋" w:eastAsia="仿宋" w:cs="仿宋"/>
          <w:spacing w:val="-3"/>
          <w:sz w:val="28"/>
          <w:szCs w:val="28"/>
        </w:rPr>
        <w:t>参考和借鉴。</w:t>
      </w:r>
    </w:p>
    <w:p w14:paraId="58629DB7">
      <w:pPr>
        <w:spacing w:before="153" w:line="224" w:lineRule="auto"/>
        <w:ind w:left="37"/>
        <w:outlineLvl w:val="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8"/>
          <w:sz w:val="28"/>
          <w:szCs w:val="28"/>
        </w:rPr>
        <w:t>五、结语</w:t>
      </w:r>
    </w:p>
    <w:p w14:paraId="4A9FA8C5">
      <w:pPr>
        <w:spacing w:line="352" w:lineRule="auto"/>
        <w:rPr>
          <w:rFonts w:ascii="Arial"/>
          <w:sz w:val="21"/>
        </w:rPr>
      </w:pPr>
    </w:p>
    <w:p w14:paraId="2BAE1761">
      <w:pPr>
        <w:spacing w:before="91" w:line="411" w:lineRule="auto"/>
        <w:ind w:left="26" w:right="13" w:firstLine="568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综上所述，智慧牧业科学与工程专业的增设，精准契合</w:t>
      </w:r>
      <w:r>
        <w:rPr>
          <w:rFonts w:ascii="仿宋" w:hAnsi="仿宋" w:eastAsia="仿宋" w:cs="仿宋"/>
          <w:spacing w:val="-5"/>
          <w:sz w:val="28"/>
          <w:szCs w:val="28"/>
        </w:rPr>
        <w:t>国家数字</w:t>
      </w:r>
      <w:r>
        <w:rPr>
          <w:rFonts w:ascii="仿宋" w:hAnsi="仿宋" w:eastAsia="仿宋" w:cs="仿宋"/>
          <w:spacing w:val="-4"/>
          <w:sz w:val="28"/>
          <w:szCs w:val="28"/>
        </w:rPr>
        <w:t>乡村和农业强国战略，紧密对接新疆畜牧业高质量发展和智能化转型的迫切需求，能够充分发挥新疆农业大学在畜牧学、计算机科学与技术、农业工程等领域的学科优势和办学特色。目前，智慧牧业领域复合型人才严重短缺，就业前景广阔。新疆农业大学动物科学学院在办学基础、师资力量、仪器设备、实习场所、经费投入等方面均能达到《普通高等学校本科专业类教学质量国家标准》的要求。因此，增设</w:t>
      </w:r>
      <w:r>
        <w:rPr>
          <w:rFonts w:ascii="仿宋" w:hAnsi="仿宋" w:eastAsia="仿宋" w:cs="仿宋"/>
          <w:spacing w:val="-1"/>
          <w:sz w:val="28"/>
          <w:szCs w:val="28"/>
        </w:rPr>
        <w:t>智慧牧业科学与工程专业是十分必要且完全可行的。</w:t>
      </w:r>
    </w:p>
    <w:p w14:paraId="7C55B2FB">
      <w:pPr>
        <w:spacing w:before="154" w:line="222" w:lineRule="auto"/>
        <w:ind w:right="11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新疆农业大学动物科学学院</w:t>
      </w:r>
    </w:p>
    <w:p w14:paraId="3FFE66F3">
      <w:pPr>
        <w:spacing w:line="350" w:lineRule="auto"/>
        <w:rPr>
          <w:rFonts w:ascii="Arial"/>
          <w:sz w:val="21"/>
        </w:rPr>
      </w:pPr>
    </w:p>
    <w:p w14:paraId="6405DF07">
      <w:pPr>
        <w:spacing w:before="92" w:line="223" w:lineRule="auto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2"/>
          <w:sz w:val="28"/>
          <w:szCs w:val="28"/>
        </w:rPr>
        <w:t>2026</w:t>
      </w:r>
      <w:r>
        <w:rPr>
          <w:rFonts w:ascii="仿宋" w:hAnsi="仿宋" w:eastAsia="仿宋" w:cs="仿宋"/>
          <w:spacing w:val="-4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2"/>
          <w:sz w:val="28"/>
          <w:szCs w:val="28"/>
        </w:rPr>
        <w:t>年</w:t>
      </w:r>
      <w:r>
        <w:rPr>
          <w:rFonts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2"/>
          <w:sz w:val="28"/>
          <w:szCs w:val="28"/>
        </w:rPr>
        <w:t>6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2"/>
          <w:sz w:val="28"/>
          <w:szCs w:val="28"/>
        </w:rPr>
        <w:t>月</w:t>
      </w:r>
    </w:p>
    <w:p w14:paraId="4CA8C400"/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7085A36-D720-45F9-A7E7-2527D517E4F6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272194D9-B212-4F70-9EA6-42DFF662D1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FF58D9BA-ED16-4C2C-8D3F-35AC6B577B54}"/>
  </w:font>
  <w:font w:name="MS Gothic">
    <w:panose1 w:val="020B0609070205080204"/>
    <w:charset w:val="86"/>
    <w:family w:val="auto"/>
    <w:pitch w:val="default"/>
    <w:sig w:usb0="E00002FF" w:usb1="6AC7FDFB" w:usb2="08000012" w:usb3="00000000" w:csb0="4002009F" w:csb1="DFD7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527A33AA-6EE2-4A74-A9F2-A6EF2015F92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A3553B7-BA8F-4BAA-A681-83C6E6BAA1E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476AC"/>
    <w:rsid w:val="6124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2026-06-26T07:49:00Z</dcterms:created>
  <dc:creator>Lenovo</dc:creator>
  <cp:lastModifiedBy>Lenovo</cp:lastModifiedBy>
  <dcterms:modified xsi:type="dcterms:W3CDTF">2026-06-26T07:50:26Z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340D9E954BFC42FFA37138602A2FD4B1_11</vt:lpwstr>
  </property>
  <property fmtid="{D5CDD505-2E9C-101B-9397-08002B2CF9AE}" pid="4" name="KSOTemplateDocerSaveRecord">
    <vt:lpwstr>eyJoZGlkIjoiNTcxM2YyN2I1NTEwYzdhNDUzOTA3ZDA1ZTU4ODJmZWQiLCJ1c2VySWQiOiIxNjc2NTgyMzAwIn0=</vt:lpwstr>
  </property>
</Properties>
</file>